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COVER LETTER &amp; RESPONSE TO PEER REVIEWERS (REVISION 3.2)</w:t>
      </w:r>
    </w:p>
    <w:p>
      <w:r>
        <w:t>To: Editors-in-Chief &amp; Reviewers</w:t>
        <w:br/>
        <w:t>Subject: Submission of Revised Manuscript (Revision 3.2)</w:t>
        <w:br/>
        <w:t>Title: In Silico Evaluation of 4D-CT Lung Tumor Kinematics, Target Margin Strategies, and Coverage Robustness Under Respiratory Variations and Setup Uncertainties</w:t>
        <w:br/>
        <w:t>Author: Vu Minh Anh, B.S. (Ho Chi Minh City University of Industry and Trade - HUIT)</w:t>
        <w:br/>
        <w:t>Correspondence: anhvm@huit.edu.vn | Repository: https://github.com/anhvu7123/4d-ct-lung-motion</w:t>
        <w:br/>
      </w:r>
    </w:p>
    <w:p>
      <w:r>
        <w:t>Dear Editors and Reviewers,</w:t>
        <w:br/>
        <w:br/>
        <w:t>We sincerely thank the reviewer for the thorough, insightful, and constructive critique. In Revision 3.2, we have thoroughly revised the manuscript and implemented all recommended improvements:</w:t>
        <w:br/>
        <w:br/>
        <w:t>1. Exact van Herk Formulation: We updated the definition of sigma_motion to the sample standard deviation (RMS displacement relative to the trajectory mean) across the 10 sampled phases: sigma_{motion,k} = sqrt((1/N) sum (r_k(t) - r_bar_k)^2). This resolves the mathematical description in Methods and matches Table 1 (Mz = 8.37 mm ~ 8.4 mm), while clarifying its role as an analytical theoretical benchmark.</w:t>
        <w:br/>
        <w:t>2. Explicit Anisotropic Mid-pos Formula: We explicitly detailed the practical clinical Mid-pos ellipsoid expansion (R_k = R_tumor + A_k/2 + M_setup) which yields the 19.3 cc volume (-6.3% vs. baseline), distinguishing it from the 29.4 cc van Herk expansion.</w:t>
        <w:br/>
        <w:t>3. Target Volume Terminology: We clarified the distinction between IGTV and ITV in accordance with ICRU Report 62 and AAPM TG-324 Report 91.b.</w:t>
        <w:br/>
        <w:t>4. Balanced Clinical Framing: We framed TG-324 4-5 mm margins as a commonly utilized clinical baseline rather than a rigid prescription, and identified target volume reduction as a geometric surrogate for normal tissue sparing.</w:t>
        <w:br/>
        <w:t>5. Word Formatting &amp; Layout: We implemented Word Heading Styles (Heading 1, Heading 2), applied cantSplit and tblHeader to all tables, inserted clean page breaks before Tables 3 and 4, and adjusted label offsets in Figure 4 to eliminate overlap.</w:t>
        <w:br/>
        <w:t>6. Official Reference Metadata: We updated all citations, including Wolthaus (2008) and Rietzel (2005), with full PubMed metadata.</w:t>
        <w:br/>
        <w:br/>
        <w:t>Sincerely,</w:t>
        <w:br/>
        <w:t>Vu Minh Anh, B.S.</w:t>
        <w:br/>
        <w:t>Faculty of Information Technology, HUIT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