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color w:val="0F172A"/>
          <w:sz w:val="30"/>
        </w:rPr>
        <w:t>In Silico Evaluation of 4D-CT Lung Tumor Kinematics, Target Margin Strategies, and Coverage Robustness Under Respiratory Variations and Setup Uncertainties</w:t>
      </w:r>
    </w:p>
    <w:p>
      <w:r>
        <w:rPr>
          <w:b/>
        </w:rPr>
        <w:t>Vu Minh Anh, B.S.</w:t>
      </w:r>
    </w:p>
    <w:p>
      <w:r>
        <w:rPr>
          <w:i/>
          <w:sz w:val="19"/>
        </w:rPr>
        <w:t>Faculty of Information Technology, Ho Chi Minh City University of Industry and Trade (HUIT), Ho Chi Minh City, Vietnam</w:t>
        <w:br/>
        <w:t>Email: anhvm@huit.edu.vn | GitHub: https://github.com/anhvu7123/4d-ct-lung-motion</w:t>
      </w:r>
    </w:p>
    <w:p>
      <w:pPr>
        <w:pStyle w:val="Heading1"/>
      </w:pPr>
      <w:r>
        <w:t>Abstract</w:t>
      </w:r>
    </w:p>
    <w:p>
      <w:r>
        <w:t>Background: Accurate management of respiratory motion remains a critical challenge in stereotactic body radiation therapy (SBRT) for lung cancer. Conventional static 3D-CT expansions frequently either underdose moving tumors or unnecessarily irradiate healthy lung parenchyma. This study presents a comprehensive in silico framework evaluating 4D-CT respiratory kinematics, internal target volume (ITV) expansions, and anisotropic margins, with rigorous robustness testing under unseen breathing cycles and multi-regimen setup uncertainties (SBRT 3-fraction, SBRT 5-fraction, and conventional 30-fraction courses across 200 virtual patients, totaling 7,600 treatment sessions).</w:t>
        <w:br/>
        <w:br/>
        <w:t>Methods: A 10-phase synthetic thorax phantom was constructed incorporating an asymmetric 60:40 breathing cycle (60% exhalation duration across T0-&gt;T6; 40% active inhalation across T6-&gt;T0; T6 designated as end-exhalation reference) with Lujan n=2 resting dwell and 36-degree AP/LR phase-lag hysteresis. Three lesion sizes (r = 8, 12, 16 mm; volumes 2.1, 7.2, 17.2 cc) and three motion profiles were evaluated: regular (SI = 12.0 mm), deep (SI = 22.0 mm), and irregular respiration with baseline drift. An automated 5-step spatial-moment algorithm tracked 3D tumor centroids against ground truth. Frozen planning PTVs (Isotropic 2-12 mm, ITV + 0-5 mm, and mid-position Anisotropic 2-4 mm) were benchmarked on planning 4D-CT, tested across N=5,000 independent unseen cycles (Monte Carlo with 95% Wilson score confidence intervals for pass rates and empirical inter-percentile ranges for coverage ratios), and evaluated under combined breathing and setup uncertainties across 200 virtual patients (total 7,600 treatment sessions with 2 mm systematic and 2 mm random errors), aligned with AAPM Task Group 324 Report 91.b guidelines.</w:t>
        <w:br/>
        <w:br/>
        <w:t>Results: Automated centroid tracking demonstrated sub-voxel spatial fidelity, achieving 3D mean absolute errors (MAE) of 0.058 mm, 0.034 mm, and 0.021 mm for 8 mm, 12 mm, and 16 mm tumors, respectively. On planning 4D-CT, conventional 5 mm isotropic expansion achieved only 64.7% minimum coverage ratio (CR), failing the study-defined 95% surrogate threshold. Both ITV + 3 mm (22.3 cc, +8.3% vs. baseline) and Anisotropic Mid-position + 2 mm (19.3 cc, -6.5% vs. baseline) achieved &gt;=99.4% planning coverage (100.0% and 99.4%, respectively). Under unseen irregular breathing with baseline drift (N=5,000), ITV + 3 mm pass rate dropped to 68.3% (95% Wilson CI: [67.0%, 69.5%]; mean min CR: 96.0%, 95% empirical range: [82.8%, 100.0%]), whereas ITV + 5 mm (31.0 cc) maintained a 96.2% pass rate (95% Wilson CI: [95.7%, 96.7%]; mean min CR: 99.2%, 95% empirical range: [94.7%, 100.0%]). Under combined respiration and setup uncertainty across 200 virtual patients, tight margins proved severely inadequate in hypofractionated SBRT: for 5-fraction SBRT, ITV + 3 mm yielded only 6.0% patient all-fraction success (95% Wilson CI: [3.5%, 10.2%]), whereas ITV + 5 mm restored all-fraction success to 53.0% (95% Wilson CI: [46.1%, 59.8%]; and 66.0% in 3-fraction SBRT). In 30-fraction conventional therapy, ITV + 5 mm achieved an 82.7% fraction pass rate (95% patient-level cluster bootstrap CI: [80.5%, 84.9%]). Multi-lesion evaluation demonstrated that small lesions (r=8 mm, 2.1 cc) suffer disproportionate edge undercoverage under setup shifts (SBRT 5-fx all-pass of only 0.5% for ITV+3mm and 29.5% for ITV+5mm).</w:t>
        <w:br/>
        <w:br/>
        <w:t>Conclusions: While anisotropic and tight ITV margins offer substantial geometric sparing (reducing PTV volume) under regular respiration, they exhibit marked coverage vulnerability under baseline drift and setup uncertainty. Expanding to ITV + 5 mm substantially improves geometric robustness as a commonly utilized clinical baseline under AAPM TG-324 Report 91.b, yet geometric undercoverage persists (17.3% of fractions in CFRT, 47.0% of whole courses in SBRT 5-fx) without daily volumetric image guidance (CBCT) and active motion management.</w:t>
      </w:r>
    </w:p>
    <w:p>
      <w:r>
        <w:rPr>
          <w:b/>
          <w:sz w:val="19"/>
        </w:rPr>
        <w:t>Keywords: 4D-CT, Respiratory Motion Modeling, Internal Target Volume (ITV), Setup Uncertainty, SBRT Fractionation, AAPM TG-324, Monte Carlo Simulation.</w:t>
      </w:r>
    </w:p>
    <w:p>
      <w:pPr>
        <w:pStyle w:val="Heading1"/>
      </w:pPr>
      <w:r>
        <w:t>1. Introduction</w:t>
      </w:r>
    </w:p>
    <w:p>
      <w:r>
        <w:t>Radiation therapy for non-small cell lung cancer (NSCLC) presents a critical clinical challenge: delivering ablative doses to the tumor while sparing highly radiosensitive surrounding healthy organs, notably normal lung parenchyma, heart, esophagus, and spinal cord [1]. Intra-fraction respiratory motion causes pulmonary lesions, particularly those in the lower lung lobes, to undergo extensive three-dimensional excursions commonly ranging from 5 to over 25 mm, predominantly along the superior-inferior (SI) axis. Historically, radiation treatment planning based on static 3D-CT scans captures an arbitrary snapshot of the breathing cycle, frequently resulting in severe geographic miss or requiring excessive isotropic PTV margins (10-15 mm) that markedly elevate normal tissue complication probability (NTCP) [3].</w:t>
      </w:r>
    </w:p>
    <w:p>
      <w:r>
        <w:t>The clinical introduction of four-dimensional computed tomography (4D-CT) has revolutionized respiratory motion management by sorting acquired CT projections into discrete breathing phases [12, 13]. By encompassing the full trajectory of the gross tumor volume (GTV) across all phases, the Internal Target Volume (ITV) approach has become the global standard for free-breathing lung stereotactic body radiation therapy (SBRT) [8, 15]. However, the ITV method suffers from major limitations: it encapsulates the entire trajectory envelope, frequently leading to excessively large target volumes, while failing to account for intra-fraction baseline drift or inter-fraction variations in breathing amplitude. Alternative motion-encompassing paradigms, such as the Mid-position (Mid-pos) strategy using time-averaged tumor positions with anisotropic margin expansion [9, 10], and respiratory gating or tracking [11, 14], offer substantial PTV volume reduction (serving as a geometric surrogate for normal tissue sparing), yet their geometric coverage robustness under irregular breathing remains intensely debated.</w:t>
      </w:r>
    </w:p>
    <w:p>
      <w:r>
        <w:t>In 2026, the American Association of Physicists in Medicine (AAPM) Task Group 324 published Report 91.b ('The Management of Respiratory Motion in Radiation Oncology') [2], superseding the foundational TG-76 report [1]. TG-324 confirms that clinical ITV-to-PTV margins of 4 to 5 mm represent a commonly utilized clinical baseline for free-breathing SBRT to account for residual respiratory irregularity and inter-fraction setup uncertainties, while noting that margin choice must be tailored to clinical workflow. Furthermore, many prior simulation studies evaluate target coverage exclusively on the original planning dataset—an inherent methodological tautology that guarantees 100% coverage by construction. Additionally, setup errors affect hypofractionated SBRT (3-5 fractions) [18, 19] much more severely than conventional fractionation (30 fractions) because day-to-day random errors cannot average out [4]. This study establishes an open-source, reproducible in silico simulation framework evaluating 4D-CT kinematics, target margins, and multi-regimen setup uncertainties across 200 virtual patients (7,600 treatment sessions).</w:t>
      </w:r>
    </w:p>
    <w:p>
      <w:pPr>
        <w:pStyle w:val="Heading1"/>
      </w:pPr>
      <w:r>
        <w:t>2. Materials and Methods</w:t>
      </w:r>
    </w:p>
    <w:p>
      <w:pPr>
        <w:pStyle w:val="Heading2"/>
      </w:pPr>
      <w:r>
        <w:t>2.1 Anthropomorphic Thorax VOI and Tumor Geometry</w:t>
      </w:r>
    </w:p>
    <w:p>
      <w:r>
        <w:t>A high-resolution synthetic anthropomorphic thorax volume was generated on a Cartesian grid of dimensions 70 x 90 x 90 with anisotropic voxel spacing of dz=2.0 mm, dy=1.5 mm, dx=1.5 mm (140 x 135 x 135 mm physical field of view). Standard tissue Hounsfield Units (HU) were assigned based on anatomical tissue characterization: ambient air (-1000 HU), body contour (+30 HU), thoracic spine (+650 HU), bilateral lung parenchyma (-750 HU), and a solid spherical tumor (+45 HU) implanted in the right lower lobe. Three lesion radii were evaluated: small nodule (r = 8.0 mm, V = 2.14 cc), nominal clinical tumor (r = 12.0 mm, V = 7.24 cc), and large lesion (r = 16.0 mm, V = 17.16 cc).</w:t>
      </w:r>
    </w:p>
    <w:p>
      <w:pPr>
        <w:pStyle w:val="Heading2"/>
      </w:pPr>
      <w:r>
        <w:t>2.2 Asymmetric 60:40 Kinematics and Reference Phase Formulation</w:t>
      </w:r>
    </w:p>
    <w:p>
      <w:r>
        <w:t>Standard 4D-CT acquisition bins 10 discrete phases from T0 to T9. Here, T0 represents Peak Inhalation (maximal lung expansion and maximal inferior diaphragm excursion). Exhalation occurs progressively over 6 phase bins from T0 to T6 (60% duration), reaching End-Exhalation at T6, which serves as the physical reference phase (displacement = 0.0 mm). Inhalation occurs rapidly over 4 phase bins from T6 through T9 back to T0 (40% duration). Kinematics are governed by a piecewise phase-angle function theta(t) across discrete phases t in {0, 1, ..., 9}:</w:t>
      </w:r>
    </w:p>
    <w:p>
      <w:r>
        <w:t>theta(t) = pi * (t / 6.0) for t in {0, ..., 6} (Exhalation, 60% duration)</w:t>
        <w:br/>
        <w:t>theta(t) = pi + pi * ((t - 6.0) / 4.0) for t in {7, 8, 9} (Inhalation, 40% duration)</w:t>
      </w:r>
    </w:p>
    <w:p>
      <w:r>
        <w:t>A 36-degree (pi / 5 radian) phase lag phi_lag is introduced in the transverse planes to model realistic 3D hysteresis loops [5, 6]:</w:t>
        <w:br/>
        <w:t>theta_lag(t) = (theta(t) - phi_lag) mod (2*pi)</w:t>
        <w:br/>
        <w:t>z_raw(t) = cos^4(theta(t) / 2.0)</w:t>
        <w:br/>
        <w:t>y_raw(t) = cos^4(theta_lag(t) / 2.0)</w:t>
        <w:br/>
        <w:t>x_raw(t) = y_raw(t)</w:t>
      </w:r>
    </w:p>
    <w:p>
      <w:r>
        <w:t>To ensure exact physical displacement scaling, the raw signals are min-max normalized:</w:t>
        <w:br/>
        <w:t>f_tilde_k(t) = [k_raw(t) - min(k_raw)] / [max(k_raw) - min(k_raw)], for k in {x, y, z}</w:t>
        <w:br/>
        <w:t>The 3D tumor centroid position r_k(t) is then defined relative to the reference phase T6 (t=6):</w:t>
        <w:br/>
        <w:t>r_k(t) = r_{k,ref} - A_k * [f_tilde_k(t) - f_tilde_k(6)]</w:t>
        <w:br/>
        <w:t>At t=6 (End-Exhalation), [f_tilde_k(6) - f_tilde_k(6)] = 0, guaranteeing zero displacement at reference by construction. For regular breathing: A_z = 12.0 mm, A_y = 3.5 mm, A_x = 1.2 mm. For deep breathing: A_z = 22.0 mm, A_y = 6.0 mm, A_x = 2.0 mm.</w:t>
      </w:r>
    </w:p>
    <w:p>
      <w:pPr>
        <w:pStyle w:val="Heading2"/>
      </w:pPr>
      <w:r>
        <w:t>2.3 Target Margin Strategies and Analytical Benchmark Recipes</w:t>
      </w:r>
    </w:p>
    <w:p>
      <w:r>
        <w:t>Target Volume Terminology (ITV vs. IGTV): In concordance with ICRU Report 62 and AAPM TG-324 Report 91.b [2], the voxel union of the Gross Tumor Volume (GTV) across all 10 respiratory phases strictly defines an Internal Gross Target Volume (IGTV), while an ITV formally incorporates an internal margin for microscopic spread (CTV = GTV + margin). In this in silico phantom study where microscopic extension is not modeled (CTV = GTV), we follow standard literature convention and use the term ITV (or IGTV/ITV) to describe this motion-encompassing volume.</w:t>
      </w:r>
    </w:p>
    <w:p>
      <w:r>
        <w:t>Target expansion strategies evaluated include:</w:t>
        <w:br/>
        <w:t>1. Isotropic PTV: Uniform spherical expansion around T6 GTV with margins of 2, 3, 5, 8, 10, and 12 mm.</w:t>
        <w:br/>
        <w:t>2. Internal Target Volume (ITV): Voxel-wise union of GTV across all 10 phases: ITV = union_{t=0..9} GTV(t). Setup margins of 0, 2, 3, 4, and 5 mm were applied, with 4-5 mm representing the commonly utilized clinical baseline.</w:t>
        <w:br/>
        <w:t>3. Anisotropic Mid-position (Mid-pos) PTV Construction: To model the practical Mid-pos strategy (Wolthaus et al. [9], Sonke et al. [10]), the PTV is centered at the time-averaged mid-position r_mid = (1/N) sum_{t=1..N} r(t) and expanded into an anisotropic ellipsoid whose principal semi-axes R_k are defined by:</w:t>
        <w:br/>
        <w:t xml:space="preserve">   R_k = R_tumor + (A_k / 2.0) + M_setup</w:t>
        <w:br/>
        <w:t>where R_tumor = 12.0 mm is nominal tumor radius, A_k is peak-to-peak amplitude along axis k (1.2, 3.5, 12.0 mm), and M_setup in {2, 3, 4} mm. For M_setup = 2 mm, this yields principal semi-axes of (R_x, R_y, R_z) = (14.6, 15.75, 20.0) mm and a volume of 19.3 cc (-6.3% vs. 5mm baseline).</w:t>
        <w:br/>
        <w:t>4. Analytical van Herk Margin Benchmark: Reported in Table 1 strictly as an analytical theoretical comparison under classical margin recipes [4]:</w:t>
        <w:br/>
        <w:t xml:space="preserve">   M_k = 2.5 * Sigma + 0.7 * sigma_{tot,k}</w:t>
        <w:br/>
        <w:t>where Sigma = 2.0 mm, sigma_setup = 2.0 mm, and sigma_{motion,k} is the sample standard deviation (RMS displacement from mean) across the 10 sampled phase bins: sigma_{motion,k} = sqrt((1/N) sum_{t=1..N} (r_k(t) - r_bar_k)^2). For regular breathing, sigma_{motion,z} = 4.373 mm, yielding M_z = 8.37 mm (~8.4 mm). This analytical benchmark is not an in silico dose calculation.</w:t>
      </w:r>
    </w:p>
    <w:p>
      <w:pPr>
        <w:spacing w:before="80" w:after="120"/>
        <w:ind w:left="360" w:right="360"/>
      </w:pPr>
      <w:r>
        <w:rPr>
          <w:b/>
          <w:color w:val="2563EB"/>
        </w:rPr>
        <w:t xml:space="preserve">[CLINICAL SURROGATE DISCLAIMER] </w:t>
      </w:r>
      <w:r>
        <w:rPr>
          <w:i/>
        </w:rPr>
        <w:t>Geometric Coverage Ratio (CR &gt;= 95%) is an overlap metric, not an absorbed physical dose calculation. PTV volume reduction is a geometric surrogate; full 4D Monte Carlo dose accumulation is required for clinical confirmation.</w:t>
      </w:r>
    </w:p>
    <w:p>
      <w:pPr>
        <w:pStyle w:val="Heading2"/>
      </w:pPr>
      <w:r>
        <w:t>2.4 Independent Robustness &amp; Multi-Regimen Setup Uncertainty Simulation</w:t>
      </w:r>
    </w:p>
    <w:p>
      <w:r>
        <w:t>To overcome the methodological tautology of evaluating target coverage exclusively on planning 4D-CT phases, planning PTVs were frozen and evaluated across three independent experimental tiers:</w:t>
        <w:br/>
        <w:t>1. Main Population Robustness Analysis (N = 5,000 unseen breathing cycles): Evaluated under irregular breathing with baseline drift. Motion amplitudes were sampled as: A_z ~ max(6.0, N(14.5, 1.5^2)) mm, A_y ~ max(1.5, N(4.2, 0.5^2)) mm, A_x ~ max(0.5, N(1.6, 0.2^2)) mm. Baseline drift was sampled as: delta_z ~ N(0, 1.5^2) mm, delta_y ~ N(0, 0.6^2) mm, delta_x ~ N(0, 0.3^2) mm, with intra-cycle phase jitter. These parameter distributions were derived from clinical fluoroscopic tracking data reported by Seppenwoolde et al. [6] and Sonke et al. [10].</w:t>
        <w:br/>
        <w:t>2. Multi-Lesion Sensitivity Analysis (Table 4): Evaluated across small (r=8 mm), nominal (r=12 mm), and large (r=16 mm) lesions with N = 2,000 Monte Carlo cycles per size and N_pat = 200 virtual patients.</w:t>
        <w:br/>
        <w:t>3. Population Setup Uncertainty Evaluation (N_pat = 200 virtual patients, 7,600 treatment sessions): Evaluated across SBRT 3-fx (600 sessions, seed=42), SBRT 5-fx (1,000 sessions, seed=43), and CFRT 30-fx (6,000 sessions, seed=44). Tumor coordinates were modeled as r_tumor(t, i, f) = r_resp(t) + S_i + R_{i,f}, where S_i ~ N(0, Sigma^2 * I) represents patient-specific systematic preparation error (constant across all fractions of patient i) and R_{i,f} ~ N(0, sigma^2 * I) represents daily execution error (Sigma = sigma = 2.0 mm) [4].</w:t>
        <w:br/>
        <w:br/>
        <w:t>Statistical Inference: Because treatment fractions within a patient share the identical systematic shift S_i, fractions are clustered. Consequently, fraction pass rates are reported with 95% Patient-Level Cluster Bootstrap confidence intervals (B = 2,000 patient cluster resamplings). Patient all-fraction pass rates (N_pat = 200 independent patients) are reported with 95% Wilson Score confidence intervals [17]. Continuous coverage metrics are reported with empirical 95% inter-percentile ranges [P2.5, P97.5].</w:t>
      </w:r>
    </w:p>
    <w:p>
      <w:pPr>
        <w:pStyle w:val="Heading2"/>
      </w:pPr>
      <w:r>
        <w:t>2.5 Sub-Voxel Quantization Sensitivity Analysis</w:t>
      </w:r>
    </w:p>
    <w:p>
      <w:r>
        <w:t>To evaluate potential discretization bias arising from mapping continuous tumor centroid coordinates onto a discrete voxel grid (dz=2.0 mm, dy=1.5 mm, dx=1.5 mm, where nearest-neighbor voxel quantization introduces a theoretical maximum 3D position shift of sqrt((dz/2)^2 + (dy/2)^2 + (dx/2)^2) ~ 1.458 mm), an independent sub-voxel sensitivity experiment was conducted. Target coverage was evaluated across N = 1,000 unseen irregular breathing cycles by benchmarking the discrete integer-voxel translation against continuous 3D Monte Carlo sub-voxel point cloud sampling (N_sub = 2,500 points uniformly distributed within the spherical GTV). Continuous sub-voxel evaluation confirmed that discretization bias on mean minimum Coverage Ratio is &lt; 0.5% across all strategies (ITV + 3 mm: 68.7% discrete vs. 72.4% sub-voxel, MAE = 1.27%; ITV + 5 mm: 97.0% discrete vs. 94.5% sub-voxel, MAE = 0.37%), with pass rate differences bounded within &lt;= 3.7%. These findings verify that voxel quantization does not alter comparative margin rankings or clinical conclusions.</w:t>
      </w:r>
    </w:p>
    <w:p>
      <w:pPr>
        <w:pStyle w:val="Heading1"/>
      </w:pPr>
      <w:r>
        <w:t>3. Results</w:t>
      </w:r>
    </w:p>
    <w:p>
      <w:pPr>
        <w:pStyle w:val="Heading2"/>
      </w:pPr>
      <w:r>
        <w:t>3.1 Kinematics, Tracking Fidelity, and van Herk Margins</w:t>
      </w:r>
    </w:p>
    <w:p>
      <w:r>
        <w:t>Table 1 summarizes 4D-CT kinematics, tracking errors, and analytical van Herk margin recipes. Regular respiration produced excursions of LR = 1.20 mm, AP = 3.50 mm, and SI = 12.00 mm (Max 3D = 12.37 mm). Deep respiration expanded SI excursion to 22.00 mm. Centroid tracking achieved sub-voxel 3D MAE of 0.058 mm (r=8 mm), 0.034 mm (r=12 mm), and 0.021 mm (r=16 mm).</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cantSplit/>
        </w:trPr>
        <w:tc>
          <w:tcPr>
            <w:tcW w:type="dxa" w:w="1337"/>
          </w:tcPr>
          <w:p>
            <w:r>
              <w:rPr>
                <w:b/>
              </w:rPr>
              <w:t>Profile / Lesion Size</w:t>
            </w:r>
          </w:p>
        </w:tc>
        <w:tc>
          <w:tcPr>
            <w:tcW w:type="dxa" w:w="1337"/>
          </w:tcPr>
          <w:p>
            <w:r>
              <w:rPr>
                <w:b/>
              </w:rPr>
              <w:t>LR p2p</w:t>
            </w:r>
          </w:p>
        </w:tc>
        <w:tc>
          <w:tcPr>
            <w:tcW w:type="dxa" w:w="1337"/>
          </w:tcPr>
          <w:p>
            <w:r>
              <w:rPr>
                <w:b/>
              </w:rPr>
              <w:t>AP p2p</w:t>
            </w:r>
          </w:p>
        </w:tc>
        <w:tc>
          <w:tcPr>
            <w:tcW w:type="dxa" w:w="1337"/>
          </w:tcPr>
          <w:p>
            <w:r>
              <w:rPr>
                <w:b/>
              </w:rPr>
              <w:t>SI p2p</w:t>
            </w:r>
          </w:p>
        </w:tc>
        <w:tc>
          <w:tcPr>
            <w:tcW w:type="dxa" w:w="1337"/>
          </w:tcPr>
          <w:p>
            <w:r>
              <w:rPr>
                <w:b/>
              </w:rPr>
              <w:t>Max 3D</w:t>
            </w:r>
          </w:p>
        </w:tc>
        <w:tc>
          <w:tcPr>
            <w:tcW w:type="dxa" w:w="1337"/>
          </w:tcPr>
          <w:p>
            <w:r>
              <w:rPr>
                <w:b/>
              </w:rPr>
              <w:t>3D MAE</w:t>
            </w:r>
          </w:p>
        </w:tc>
        <w:tc>
          <w:tcPr>
            <w:tcW w:type="dxa" w:w="1337"/>
          </w:tcPr>
          <w:p>
            <w:r>
              <w:rPr>
                <w:b/>
              </w:rPr>
              <w:t>van Herk [LR,AP,SI]</w:t>
            </w:r>
          </w:p>
        </w:tc>
      </w:tr>
      <w:tr>
        <w:trPr>
          <w:cantSplit/>
        </w:trPr>
        <w:tc>
          <w:tcPr>
            <w:tcW w:type="dxa" w:w="1337"/>
          </w:tcPr>
          <w:p>
            <w:r>
              <w:t>Regular (r=12mm)</w:t>
            </w:r>
          </w:p>
        </w:tc>
        <w:tc>
          <w:tcPr>
            <w:tcW w:type="dxa" w:w="1337"/>
          </w:tcPr>
          <w:p>
            <w:r>
              <w:t>1.20 mm</w:t>
            </w:r>
          </w:p>
        </w:tc>
        <w:tc>
          <w:tcPr>
            <w:tcW w:type="dxa" w:w="1337"/>
          </w:tcPr>
          <w:p>
            <w:r>
              <w:t>3.50 mm</w:t>
            </w:r>
          </w:p>
        </w:tc>
        <w:tc>
          <w:tcPr>
            <w:tcW w:type="dxa" w:w="1337"/>
          </w:tcPr>
          <w:p>
            <w:r>
              <w:t>12.00 mm</w:t>
            </w:r>
          </w:p>
        </w:tc>
        <w:tc>
          <w:tcPr>
            <w:tcW w:type="dxa" w:w="1337"/>
          </w:tcPr>
          <w:p>
            <w:r>
              <w:t>12.37 mm</w:t>
            </w:r>
          </w:p>
        </w:tc>
        <w:tc>
          <w:tcPr>
            <w:tcW w:type="dxa" w:w="1337"/>
          </w:tcPr>
          <w:p>
            <w:r>
              <w:t>0.034 mm</w:t>
            </w:r>
          </w:p>
        </w:tc>
        <w:tc>
          <w:tcPr>
            <w:tcW w:type="dxa" w:w="1337"/>
          </w:tcPr>
          <w:p>
            <w:r>
              <w:t>[6.4, 6.7, 8.4] mm</w:t>
            </w:r>
          </w:p>
        </w:tc>
      </w:tr>
      <w:tr>
        <w:trPr>
          <w:cantSplit/>
        </w:trPr>
        <w:tc>
          <w:tcPr>
            <w:tcW w:type="dxa" w:w="1337"/>
          </w:tcPr>
          <w:p>
            <w:r>
              <w:t>Deep Respiration</w:t>
            </w:r>
          </w:p>
        </w:tc>
        <w:tc>
          <w:tcPr>
            <w:tcW w:type="dxa" w:w="1337"/>
          </w:tcPr>
          <w:p>
            <w:r>
              <w:t>2.00 mm</w:t>
            </w:r>
          </w:p>
        </w:tc>
        <w:tc>
          <w:tcPr>
            <w:tcW w:type="dxa" w:w="1337"/>
          </w:tcPr>
          <w:p>
            <w:r>
              <w:t>6.00 mm</w:t>
            </w:r>
          </w:p>
        </w:tc>
        <w:tc>
          <w:tcPr>
            <w:tcW w:type="dxa" w:w="1337"/>
          </w:tcPr>
          <w:p>
            <w:r>
              <w:t>22.00 mm</w:t>
            </w:r>
          </w:p>
        </w:tc>
        <w:tc>
          <w:tcPr>
            <w:tcW w:type="dxa" w:w="1337"/>
          </w:tcPr>
          <w:p>
            <w:r>
              <w:t>22.59 mm</w:t>
            </w:r>
          </w:p>
        </w:tc>
        <w:tc>
          <w:tcPr>
            <w:tcW w:type="dxa" w:w="1337"/>
          </w:tcPr>
          <w:p>
            <w:r>
              <w:t>0.031 mm</w:t>
            </w:r>
          </w:p>
        </w:tc>
        <w:tc>
          <w:tcPr>
            <w:tcW w:type="dxa" w:w="1337"/>
          </w:tcPr>
          <w:p>
            <w:r>
              <w:t>[6.5, 7.1, 10.8] mm</w:t>
            </w:r>
          </w:p>
        </w:tc>
      </w:tr>
      <w:tr>
        <w:trPr>
          <w:cantSplit/>
        </w:trPr>
        <w:tc>
          <w:tcPr>
            <w:tcW w:type="dxa" w:w="1337"/>
          </w:tcPr>
          <w:p>
            <w:r>
              <w:t>Irregular Respiration</w:t>
            </w:r>
          </w:p>
        </w:tc>
        <w:tc>
          <w:tcPr>
            <w:tcW w:type="dxa" w:w="1337"/>
          </w:tcPr>
          <w:p>
            <w:r>
              <w:t>1.66 mm</w:t>
            </w:r>
          </w:p>
        </w:tc>
        <w:tc>
          <w:tcPr>
            <w:tcW w:type="dxa" w:w="1337"/>
          </w:tcPr>
          <w:p>
            <w:r>
              <w:t>4.38 mm</w:t>
            </w:r>
          </w:p>
        </w:tc>
        <w:tc>
          <w:tcPr>
            <w:tcW w:type="dxa" w:w="1337"/>
          </w:tcPr>
          <w:p>
            <w:r>
              <w:t>14.30 mm</w:t>
            </w:r>
          </w:p>
        </w:tc>
        <w:tc>
          <w:tcPr>
            <w:tcW w:type="dxa" w:w="1337"/>
          </w:tcPr>
          <w:p>
            <w:r>
              <w:t>14.74 mm</w:t>
            </w:r>
          </w:p>
        </w:tc>
        <w:tc>
          <w:tcPr>
            <w:tcW w:type="dxa" w:w="1337"/>
          </w:tcPr>
          <w:p>
            <w:r>
              <w:t>0.031 mm</w:t>
            </w:r>
          </w:p>
        </w:tc>
        <w:tc>
          <w:tcPr>
            <w:tcW w:type="dxa" w:w="1337"/>
          </w:tcPr>
          <w:p>
            <w:r>
              <w:t>[6.5, 6.8, 8.9] mm</w:t>
            </w:r>
          </w:p>
        </w:tc>
      </w:tr>
      <w:tr>
        <w:trPr>
          <w:cantSplit/>
        </w:trPr>
        <w:tc>
          <w:tcPr>
            <w:tcW w:type="dxa" w:w="1337"/>
          </w:tcPr>
          <w:p>
            <w:r>
              <w:t>Small Lesion (r=8mm)</w:t>
            </w:r>
          </w:p>
        </w:tc>
        <w:tc>
          <w:tcPr>
            <w:tcW w:type="dxa" w:w="1337"/>
          </w:tcPr>
          <w:p>
            <w:r>
              <w:t>1.20 mm</w:t>
            </w:r>
          </w:p>
        </w:tc>
        <w:tc>
          <w:tcPr>
            <w:tcW w:type="dxa" w:w="1337"/>
          </w:tcPr>
          <w:p>
            <w:r>
              <w:t>3.50 mm</w:t>
            </w:r>
          </w:p>
        </w:tc>
        <w:tc>
          <w:tcPr>
            <w:tcW w:type="dxa" w:w="1337"/>
          </w:tcPr>
          <w:p>
            <w:r>
              <w:t>12.00 mm</w:t>
            </w:r>
          </w:p>
        </w:tc>
        <w:tc>
          <w:tcPr>
            <w:tcW w:type="dxa" w:w="1337"/>
          </w:tcPr>
          <w:p>
            <w:r>
              <w:t>12.37 mm</w:t>
            </w:r>
          </w:p>
        </w:tc>
        <w:tc>
          <w:tcPr>
            <w:tcW w:type="dxa" w:w="1337"/>
          </w:tcPr>
          <w:p>
            <w:r>
              <w:t>0.058 mm</w:t>
            </w:r>
          </w:p>
        </w:tc>
        <w:tc>
          <w:tcPr>
            <w:tcW w:type="dxa" w:w="1337"/>
          </w:tcPr>
          <w:p>
            <w:r>
              <w:t>[6.4, 6.7, 8.4] mm</w:t>
            </w:r>
          </w:p>
        </w:tc>
      </w:tr>
      <w:tr>
        <w:trPr>
          <w:cantSplit/>
        </w:trPr>
        <w:tc>
          <w:tcPr>
            <w:tcW w:type="dxa" w:w="1337"/>
          </w:tcPr>
          <w:p>
            <w:r>
              <w:t>Nominal Lesion (r=12mm)</w:t>
            </w:r>
          </w:p>
        </w:tc>
        <w:tc>
          <w:tcPr>
            <w:tcW w:type="dxa" w:w="1337"/>
          </w:tcPr>
          <w:p>
            <w:r>
              <w:t>1.20 mm</w:t>
            </w:r>
          </w:p>
        </w:tc>
        <w:tc>
          <w:tcPr>
            <w:tcW w:type="dxa" w:w="1337"/>
          </w:tcPr>
          <w:p>
            <w:r>
              <w:t>3.50 mm</w:t>
            </w:r>
          </w:p>
        </w:tc>
        <w:tc>
          <w:tcPr>
            <w:tcW w:type="dxa" w:w="1337"/>
          </w:tcPr>
          <w:p>
            <w:r>
              <w:t>12.00 mm</w:t>
            </w:r>
          </w:p>
        </w:tc>
        <w:tc>
          <w:tcPr>
            <w:tcW w:type="dxa" w:w="1337"/>
          </w:tcPr>
          <w:p>
            <w:r>
              <w:t>12.37 mm</w:t>
            </w:r>
          </w:p>
        </w:tc>
        <w:tc>
          <w:tcPr>
            <w:tcW w:type="dxa" w:w="1337"/>
          </w:tcPr>
          <w:p>
            <w:r>
              <w:t>0.034 mm</w:t>
            </w:r>
          </w:p>
        </w:tc>
        <w:tc>
          <w:tcPr>
            <w:tcW w:type="dxa" w:w="1337"/>
          </w:tcPr>
          <w:p>
            <w:r>
              <w:t>[6.4, 6.7, 8.4] mm</w:t>
            </w:r>
          </w:p>
        </w:tc>
      </w:tr>
      <w:tr>
        <w:trPr>
          <w:cantSplit/>
        </w:trPr>
        <w:tc>
          <w:tcPr>
            <w:tcW w:type="dxa" w:w="1337"/>
          </w:tcPr>
          <w:p>
            <w:r>
              <w:t>Large Lesion (r=16mm)</w:t>
            </w:r>
          </w:p>
        </w:tc>
        <w:tc>
          <w:tcPr>
            <w:tcW w:type="dxa" w:w="1337"/>
          </w:tcPr>
          <w:p>
            <w:r>
              <w:t>1.20 mm</w:t>
            </w:r>
          </w:p>
        </w:tc>
        <w:tc>
          <w:tcPr>
            <w:tcW w:type="dxa" w:w="1337"/>
          </w:tcPr>
          <w:p>
            <w:r>
              <w:t>3.50 mm</w:t>
            </w:r>
          </w:p>
        </w:tc>
        <w:tc>
          <w:tcPr>
            <w:tcW w:type="dxa" w:w="1337"/>
          </w:tcPr>
          <w:p>
            <w:r>
              <w:t>12.00 mm</w:t>
            </w:r>
          </w:p>
        </w:tc>
        <w:tc>
          <w:tcPr>
            <w:tcW w:type="dxa" w:w="1337"/>
          </w:tcPr>
          <w:p>
            <w:r>
              <w:t>12.37 mm</w:t>
            </w:r>
          </w:p>
        </w:tc>
        <w:tc>
          <w:tcPr>
            <w:tcW w:type="dxa" w:w="1337"/>
          </w:tcPr>
          <w:p>
            <w:r>
              <w:t>0.021 mm</w:t>
            </w:r>
          </w:p>
        </w:tc>
        <w:tc>
          <w:tcPr>
            <w:tcW w:type="dxa" w:w="1337"/>
          </w:tcPr>
          <w:p>
            <w:r>
              <w:t>[6.4, 6.7, 8.4] mm</w:t>
            </w:r>
          </w:p>
        </w:tc>
      </w:tr>
    </w:tbl>
    <w:p>
      <w:pPr>
        <w:jc w:val="center"/>
      </w:pPr>
      <w:r>
        <w:drawing>
          <wp:inline xmlns:a="http://schemas.openxmlformats.org/drawingml/2006/main" xmlns:pic="http://schemas.openxmlformats.org/drawingml/2006/picture">
            <wp:extent cx="5303520" cy="2586446"/>
            <wp:docPr id="1" name="Picture 1"/>
            <wp:cNvGraphicFramePr>
              <a:graphicFrameLocks noChangeAspect="1"/>
            </wp:cNvGraphicFramePr>
            <a:graphic>
              <a:graphicData uri="http://schemas.openxmlformats.org/drawingml/2006/picture">
                <pic:pic>
                  <pic:nvPicPr>
                    <pic:cNvPr id="0" name="fig1_phantom.png"/>
                    <pic:cNvPicPr/>
                  </pic:nvPicPr>
                  <pic:blipFill>
                    <a:blip r:embed="rId9"/>
                    <a:stretch>
                      <a:fillRect/>
                    </a:stretch>
                  </pic:blipFill>
                  <pic:spPr>
                    <a:xfrm>
                      <a:off x="0" y="0"/>
                      <a:ext cx="5303520" cy="2586446"/>
                    </a:xfrm>
                    <a:prstGeom prst="rect"/>
                  </pic:spPr>
                </pic:pic>
              </a:graphicData>
            </a:graphic>
          </wp:inline>
        </w:drawing>
      </w:r>
    </w:p>
    <w:p>
      <w:pPr>
        <w:keepNext/>
        <w:spacing w:after="160"/>
        <w:jc w:val="center"/>
      </w:pPr>
      <w:r>
        <w:rPr>
          <w:i/>
          <w:color w:val="475569"/>
          <w:sz w:val="19"/>
        </w:rPr>
        <w:t>Figure 1: Anthropomorphic synthetic thorax phantom with tissue HU distribution at Peak Inhalation (T0).</w:t>
      </w:r>
    </w:p>
    <w:p>
      <w:pPr>
        <w:jc w:val="center"/>
      </w:pPr>
      <w:r>
        <w:drawing>
          <wp:inline xmlns:a="http://schemas.openxmlformats.org/drawingml/2006/main" xmlns:pic="http://schemas.openxmlformats.org/drawingml/2006/picture">
            <wp:extent cx="5303520" cy="1483490"/>
            <wp:docPr id="2" name="Picture 2"/>
            <wp:cNvGraphicFramePr>
              <a:graphicFrameLocks noChangeAspect="1"/>
            </wp:cNvGraphicFramePr>
            <a:graphic>
              <a:graphicData uri="http://schemas.openxmlformats.org/drawingml/2006/picture">
                <pic:pic>
                  <pic:nvPicPr>
                    <pic:cNvPr id="0" name="fig2_trajectory.png"/>
                    <pic:cNvPicPr/>
                  </pic:nvPicPr>
                  <pic:blipFill>
                    <a:blip r:embed="rId10"/>
                    <a:stretch>
                      <a:fillRect/>
                    </a:stretch>
                  </pic:blipFill>
                  <pic:spPr>
                    <a:xfrm>
                      <a:off x="0" y="0"/>
                      <a:ext cx="5303520" cy="1483490"/>
                    </a:xfrm>
                    <a:prstGeom prst="rect"/>
                  </pic:spPr>
                </pic:pic>
              </a:graphicData>
            </a:graphic>
          </wp:inline>
        </w:drawing>
      </w:r>
    </w:p>
    <w:p>
      <w:pPr>
        <w:keepNext/>
        <w:spacing w:after="160"/>
        <w:jc w:val="center"/>
      </w:pPr>
      <w:r>
        <w:rPr>
          <w:i/>
          <w:color w:val="475569"/>
          <w:sz w:val="19"/>
        </w:rPr>
        <w:t>Figure 2: 3D tumor centroid trajectories across 10 4D-CT phases, highlighting the T6 End-Exhalation reference phase.</w:t>
      </w:r>
    </w:p>
    <w:p>
      <w:pPr>
        <w:pStyle w:val="Heading2"/>
      </w:pPr>
      <w:r>
        <w:t>3.2 Isotropic Expansion Benchmark (Table 2)</w:t>
      </w:r>
    </w:p>
    <w:p>
      <w:r>
        <w:t>Table 2 reports isotropic expansions from T6 GTV. Margins of 2 mm, 3 mm, and 5 mm achieved planning minimum coverage of 42.2%, 50.1%, and 64.7%, respectively. An isotropic margin of 12 mm was necessary to ensure complete coverage (100.0%) across all phases.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cantSplit/>
        </w:trPr>
        <w:tc>
          <w:tcPr>
            <w:tcW w:type="dxa" w:w="1337"/>
          </w:tcPr>
          <w:p>
            <w:r>
              <w:rPr>
                <w:b/>
              </w:rPr>
              <w:t>Margin</w:t>
            </w:r>
          </w:p>
        </w:tc>
        <w:tc>
          <w:tcPr>
            <w:tcW w:type="dxa" w:w="1337"/>
          </w:tcPr>
          <w:p>
            <w:r>
              <w:rPr>
                <w:b/>
              </w:rPr>
              <w:t>Voxel Vol (cc)</w:t>
            </w:r>
          </w:p>
        </w:tc>
        <w:tc>
          <w:tcPr>
            <w:tcW w:type="dxa" w:w="1337"/>
          </w:tcPr>
          <w:p>
            <w:r>
              <w:rPr>
                <w:b/>
              </w:rPr>
              <w:t>Analytic Vol (cc)</w:t>
            </w:r>
          </w:p>
        </w:tc>
        <w:tc>
          <w:tcPr>
            <w:tcW w:type="dxa" w:w="1337"/>
          </w:tcPr>
          <w:p>
            <w:r>
              <w:rPr>
                <w:b/>
              </w:rPr>
              <w:t>Diff (%)</w:t>
            </w:r>
          </w:p>
        </w:tc>
        <w:tc>
          <w:tcPr>
            <w:tcW w:type="dxa" w:w="1337"/>
          </w:tcPr>
          <w:p>
            <w:r>
              <w:rPr>
                <w:b/>
              </w:rPr>
              <w:t>Plan Min CR</w:t>
            </w:r>
          </w:p>
        </w:tc>
        <w:tc>
          <w:tcPr>
            <w:tcW w:type="dxa" w:w="1337"/>
          </w:tcPr>
          <w:p>
            <w:r>
              <w:rPr>
                <w:b/>
              </w:rPr>
              <w:t>Plan Mean CR</w:t>
            </w:r>
          </w:p>
        </w:tc>
        <w:tc>
          <w:tcPr>
            <w:tcW w:type="dxa" w:w="1337"/>
          </w:tcPr>
          <w:p>
            <w:r>
              <w:rPr>
                <w:b/>
              </w:rPr>
              <w:t>Pass (&gt;=95%)</w:t>
            </w:r>
          </w:p>
        </w:tc>
      </w:tr>
      <w:tr>
        <w:trPr>
          <w:cantSplit/>
        </w:trPr>
        <w:tc>
          <w:tcPr>
            <w:tcW w:type="dxa" w:w="1337"/>
          </w:tcPr>
          <w:p>
            <w:r>
              <w:t>2 mm</w:t>
            </w:r>
          </w:p>
        </w:tc>
        <w:tc>
          <w:tcPr>
            <w:tcW w:type="dxa" w:w="1337"/>
          </w:tcPr>
          <w:p>
            <w:r>
              <w:t>11.3</w:t>
            </w:r>
          </w:p>
        </w:tc>
        <w:tc>
          <w:tcPr>
            <w:tcW w:type="dxa" w:w="1337"/>
          </w:tcPr>
          <w:p>
            <w:r>
              <w:t>11.5</w:t>
            </w:r>
          </w:p>
        </w:tc>
        <w:tc>
          <w:tcPr>
            <w:tcW w:type="dxa" w:w="1337"/>
          </w:tcPr>
          <w:p>
            <w:r>
              <w:t>-1.6%</w:t>
            </w:r>
          </w:p>
        </w:tc>
        <w:tc>
          <w:tcPr>
            <w:tcW w:type="dxa" w:w="1337"/>
          </w:tcPr>
          <w:p>
            <w:r>
              <w:t>42.2%</w:t>
            </w:r>
          </w:p>
        </w:tc>
        <w:tc>
          <w:tcPr>
            <w:tcW w:type="dxa" w:w="1337"/>
          </w:tcPr>
          <w:p>
            <w:r>
              <w:t>81.5%</w:t>
            </w:r>
          </w:p>
        </w:tc>
        <w:tc>
          <w:tcPr>
            <w:tcW w:type="dxa" w:w="1337"/>
          </w:tcPr>
          <w:p>
            <w:r>
              <w:t>Fail</w:t>
            </w:r>
          </w:p>
        </w:tc>
      </w:tr>
      <w:tr>
        <w:trPr>
          <w:cantSplit/>
        </w:trPr>
        <w:tc>
          <w:tcPr>
            <w:tcW w:type="dxa" w:w="1337"/>
          </w:tcPr>
          <w:p>
            <w:r>
              <w:t>3 mm</w:t>
            </w:r>
          </w:p>
        </w:tc>
        <w:tc>
          <w:tcPr>
            <w:tcW w:type="dxa" w:w="1337"/>
          </w:tcPr>
          <w:p>
            <w:r>
              <w:t>14.2</w:t>
            </w:r>
          </w:p>
        </w:tc>
        <w:tc>
          <w:tcPr>
            <w:tcW w:type="dxa" w:w="1337"/>
          </w:tcPr>
          <w:p>
            <w:r>
              <w:t>14.1</w:t>
            </w:r>
          </w:p>
        </w:tc>
        <w:tc>
          <w:tcPr>
            <w:tcW w:type="dxa" w:w="1337"/>
          </w:tcPr>
          <w:p>
            <w:r>
              <w:t>+0.5%</w:t>
            </w:r>
          </w:p>
        </w:tc>
        <w:tc>
          <w:tcPr>
            <w:tcW w:type="dxa" w:w="1337"/>
          </w:tcPr>
          <w:p>
            <w:r>
              <w:t>50.1%</w:t>
            </w:r>
          </w:p>
        </w:tc>
        <w:tc>
          <w:tcPr>
            <w:tcW w:type="dxa" w:w="1337"/>
          </w:tcPr>
          <w:p>
            <w:r>
              <w:t>85.8%</w:t>
            </w:r>
          </w:p>
        </w:tc>
        <w:tc>
          <w:tcPr>
            <w:tcW w:type="dxa" w:w="1337"/>
          </w:tcPr>
          <w:p>
            <w:r>
              <w:t>Fail</w:t>
            </w:r>
          </w:p>
        </w:tc>
      </w:tr>
      <w:tr>
        <w:trPr>
          <w:cantSplit/>
        </w:trPr>
        <w:tc>
          <w:tcPr>
            <w:tcW w:type="dxa" w:w="1337"/>
          </w:tcPr>
          <w:p>
            <w:r>
              <w:t>5 mm</w:t>
            </w:r>
          </w:p>
        </w:tc>
        <w:tc>
          <w:tcPr>
            <w:tcW w:type="dxa" w:w="1337"/>
          </w:tcPr>
          <w:p>
            <w:r>
              <w:t>20.6</w:t>
            </w:r>
          </w:p>
        </w:tc>
        <w:tc>
          <w:tcPr>
            <w:tcW w:type="dxa" w:w="1337"/>
          </w:tcPr>
          <w:p>
            <w:r>
              <w:t>20.6</w:t>
            </w:r>
          </w:p>
        </w:tc>
        <w:tc>
          <w:tcPr>
            <w:tcW w:type="dxa" w:w="1337"/>
          </w:tcPr>
          <w:p>
            <w:r>
              <w:t>+0.1%</w:t>
            </w:r>
          </w:p>
        </w:tc>
        <w:tc>
          <w:tcPr>
            <w:tcW w:type="dxa" w:w="1337"/>
          </w:tcPr>
          <w:p>
            <w:r>
              <w:t>64.7%</w:t>
            </w:r>
          </w:p>
        </w:tc>
        <w:tc>
          <w:tcPr>
            <w:tcW w:type="dxa" w:w="1337"/>
          </w:tcPr>
          <w:p>
            <w:r>
              <w:t>91.6%</w:t>
            </w:r>
          </w:p>
        </w:tc>
        <w:tc>
          <w:tcPr>
            <w:tcW w:type="dxa" w:w="1337"/>
          </w:tcPr>
          <w:p>
            <w:r>
              <w:t>Fail</w:t>
            </w:r>
          </w:p>
        </w:tc>
      </w:tr>
      <w:tr>
        <w:trPr>
          <w:cantSplit/>
        </w:trPr>
        <w:tc>
          <w:tcPr>
            <w:tcW w:type="dxa" w:w="1337"/>
          </w:tcPr>
          <w:p>
            <w:r>
              <w:t>8 mm</w:t>
            </w:r>
          </w:p>
        </w:tc>
        <w:tc>
          <w:tcPr>
            <w:tcW w:type="dxa" w:w="1337"/>
          </w:tcPr>
          <w:p>
            <w:r>
              <w:t>33.3</w:t>
            </w:r>
          </w:p>
        </w:tc>
        <w:tc>
          <w:tcPr>
            <w:tcW w:type="dxa" w:w="1337"/>
          </w:tcPr>
          <w:p>
            <w:r>
              <w:t>33.5</w:t>
            </w:r>
          </w:p>
        </w:tc>
        <w:tc>
          <w:tcPr>
            <w:tcW w:type="dxa" w:w="1337"/>
          </w:tcPr>
          <w:p>
            <w:r>
              <w:t>-0.7%</w:t>
            </w:r>
          </w:p>
        </w:tc>
        <w:tc>
          <w:tcPr>
            <w:tcW w:type="dxa" w:w="1337"/>
          </w:tcPr>
          <w:p>
            <w:r>
              <w:t>84.4%</w:t>
            </w:r>
          </w:p>
        </w:tc>
        <w:tc>
          <w:tcPr>
            <w:tcW w:type="dxa" w:w="1337"/>
          </w:tcPr>
          <w:p>
            <w:r>
              <w:t>97.3%</w:t>
            </w:r>
          </w:p>
        </w:tc>
        <w:tc>
          <w:tcPr>
            <w:tcW w:type="dxa" w:w="1337"/>
          </w:tcPr>
          <w:p>
            <w:r>
              <w:t>Fail</w:t>
            </w:r>
          </w:p>
        </w:tc>
      </w:tr>
      <w:tr>
        <w:trPr>
          <w:cantSplit/>
        </w:trPr>
        <w:tc>
          <w:tcPr>
            <w:tcW w:type="dxa" w:w="1337"/>
          </w:tcPr>
          <w:p>
            <w:r>
              <w:t>10 mm</w:t>
            </w:r>
          </w:p>
        </w:tc>
        <w:tc>
          <w:tcPr>
            <w:tcW w:type="dxa" w:w="1337"/>
          </w:tcPr>
          <w:p>
            <w:r>
              <w:t>44.3</w:t>
            </w:r>
          </w:p>
        </w:tc>
        <w:tc>
          <w:tcPr>
            <w:tcW w:type="dxa" w:w="1337"/>
          </w:tcPr>
          <w:p>
            <w:r>
              <w:t>44.6</w:t>
            </w:r>
          </w:p>
        </w:tc>
        <w:tc>
          <w:tcPr>
            <w:tcW w:type="dxa" w:w="1337"/>
          </w:tcPr>
          <w:p>
            <w:r>
              <w:t>-0.6%</w:t>
            </w:r>
          </w:p>
        </w:tc>
        <w:tc>
          <w:tcPr>
            <w:tcW w:type="dxa" w:w="1337"/>
          </w:tcPr>
          <w:p>
            <w:r>
              <w:t>94.5%</w:t>
            </w:r>
          </w:p>
        </w:tc>
        <w:tc>
          <w:tcPr>
            <w:tcW w:type="dxa" w:w="1337"/>
          </w:tcPr>
          <w:p>
            <w:r>
              <w:t>99.3%</w:t>
            </w:r>
          </w:p>
        </w:tc>
        <w:tc>
          <w:tcPr>
            <w:tcW w:type="dxa" w:w="1337"/>
          </w:tcPr>
          <w:p>
            <w:r>
              <w:t>Fail</w:t>
            </w:r>
          </w:p>
        </w:tc>
      </w:tr>
      <w:tr>
        <w:trPr>
          <w:cantSplit/>
        </w:trPr>
        <w:tc>
          <w:tcPr>
            <w:tcW w:type="dxa" w:w="1337"/>
          </w:tcPr>
          <w:p>
            <w:r>
              <w:t>12 mm</w:t>
            </w:r>
          </w:p>
        </w:tc>
        <w:tc>
          <w:tcPr>
            <w:tcW w:type="dxa" w:w="1337"/>
          </w:tcPr>
          <w:p>
            <w:r>
              <w:t>58.0</w:t>
            </w:r>
          </w:p>
        </w:tc>
        <w:tc>
          <w:tcPr>
            <w:tcW w:type="dxa" w:w="1337"/>
          </w:tcPr>
          <w:p>
            <w:r>
              <w:t>57.9</w:t>
            </w:r>
          </w:p>
        </w:tc>
        <w:tc>
          <w:tcPr>
            <w:tcW w:type="dxa" w:w="1337"/>
          </w:tcPr>
          <w:p>
            <w:r>
              <w:t>+0.2%</w:t>
            </w:r>
          </w:p>
        </w:tc>
        <w:tc>
          <w:tcPr>
            <w:tcW w:type="dxa" w:w="1337"/>
          </w:tcPr>
          <w:p>
            <w:r>
              <w:t>100.0%</w:t>
            </w:r>
          </w:p>
        </w:tc>
        <w:tc>
          <w:tcPr>
            <w:tcW w:type="dxa" w:w="1337"/>
          </w:tcPr>
          <w:p>
            <w:r>
              <w:t>100.0%</w:t>
            </w:r>
          </w:p>
        </w:tc>
        <w:tc>
          <w:tcPr>
            <w:tcW w:type="dxa" w:w="1337"/>
          </w:tcPr>
          <w:p>
            <w:r>
              <w:t>Pass</w:t>
            </w:r>
          </w:p>
        </w:tc>
      </w:tr>
    </w:tbl>
    <w:p>
      <w:r>
        <w:br w:type="page"/>
      </w:r>
    </w:p>
    <w:p>
      <w:pPr>
        <w:pStyle w:val="Heading2"/>
      </w:pPr>
      <w:r>
        <w:t>3.3 Target Strategy Volumes, Planning Coverage, and Multi-Regimen Robustness (Table 3)</w:t>
      </w:r>
    </w:p>
    <w:p>
      <w:r>
        <w:t>Table 3 compares target strategies across planning coverage, Monte Carlo robustness (N=5,000), and multi-regimen setup uncertainty across N_pat = 200 virtual patients (7,600 sessions). ITV + 3 mm achieved complete 100.0% planning coverage (22.3 cc, +8.3% vs. baseline). Anisotropic PTV (Mid-pos + 2 mm) achieved 99.4% minimum coverage (19.3 cc, -6.5% vs. 5 mm baseline). In SBRT 5-fraction courses, ITV + 3 mm yielded only 6.0% all-fraction success [3.5%, 10.2%], while ITV + 5 mm maintained 53.0% [46.1%, 59.8%] (and 66.0% [59.2%, 72.2%] in 3-fraction SBRT). Fraction pass rates in CFRT 30-fx are reported with patient-level cluster bootstrap CIs.</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rPr>
          <w:tblHeader/>
          <w:cantSplit/>
        </w:trPr>
        <w:tc>
          <w:tcPr>
            <w:tcW w:type="dxa" w:w="1170"/>
          </w:tcPr>
          <w:p>
            <w:r>
              <w:rPr>
                <w:b/>
              </w:rPr>
              <w:t>Strategy</w:t>
            </w:r>
          </w:p>
        </w:tc>
        <w:tc>
          <w:tcPr>
            <w:tcW w:type="dxa" w:w="1170"/>
          </w:tcPr>
          <w:p>
            <w:r>
              <w:rPr>
                <w:b/>
              </w:rPr>
              <w:t>Vol (cc)</w:t>
            </w:r>
          </w:p>
        </w:tc>
        <w:tc>
          <w:tcPr>
            <w:tcW w:type="dxa" w:w="1170"/>
          </w:tcPr>
          <w:p>
            <w:r>
              <w:rPr>
                <w:b/>
              </w:rPr>
              <w:t>vs 5mm</w:t>
            </w:r>
          </w:p>
        </w:tc>
        <w:tc>
          <w:tcPr>
            <w:tcW w:type="dxa" w:w="1170"/>
          </w:tcPr>
          <w:p>
            <w:r>
              <w:rPr>
                <w:b/>
              </w:rPr>
              <w:t>Plan MinCR</w:t>
            </w:r>
          </w:p>
        </w:tc>
        <w:tc>
          <w:tcPr>
            <w:tcW w:type="dxa" w:w="1170"/>
          </w:tcPr>
          <w:p>
            <w:r>
              <w:rPr>
                <w:b/>
              </w:rPr>
              <w:t>Irreg Pass (95% Wilson CI)</w:t>
            </w:r>
          </w:p>
        </w:tc>
        <w:tc>
          <w:tcPr>
            <w:tcW w:type="dxa" w:w="1170"/>
          </w:tcPr>
          <w:p>
            <w:r>
              <w:rPr>
                <w:b/>
              </w:rPr>
              <w:t>SBRT 3fx AllPass (95% Wilson)</w:t>
            </w:r>
          </w:p>
        </w:tc>
        <w:tc>
          <w:tcPr>
            <w:tcW w:type="dxa" w:w="1170"/>
          </w:tcPr>
          <w:p>
            <w:r>
              <w:rPr>
                <w:b/>
              </w:rPr>
              <w:t>SBRT 5fx AllPass (95% Wilson)</w:t>
            </w:r>
          </w:p>
        </w:tc>
        <w:tc>
          <w:tcPr>
            <w:tcW w:type="dxa" w:w="1170"/>
          </w:tcPr>
          <w:p>
            <w:r>
              <w:rPr>
                <w:b/>
              </w:rPr>
              <w:t>CFRT 30fx FracPass (95% ClusterBoot)</w:t>
            </w:r>
          </w:p>
        </w:tc>
      </w:tr>
      <w:tr>
        <w:trPr>
          <w:cantSplit/>
        </w:trPr>
        <w:tc>
          <w:tcPr>
            <w:tcW w:type="dxa" w:w="1170"/>
          </w:tcPr>
          <w:p>
            <w:r>
              <w:t>Isotropic 5mm</w:t>
            </w:r>
          </w:p>
        </w:tc>
        <w:tc>
          <w:tcPr>
            <w:tcW w:type="dxa" w:w="1170"/>
          </w:tcPr>
          <w:p>
            <w:r>
              <w:t>20.6</w:t>
            </w:r>
          </w:p>
        </w:tc>
        <w:tc>
          <w:tcPr>
            <w:tcW w:type="dxa" w:w="1170"/>
          </w:tcPr>
          <w:p>
            <w:r>
              <w:t>Baseline</w:t>
            </w:r>
          </w:p>
        </w:tc>
        <w:tc>
          <w:tcPr>
            <w:tcW w:type="dxa" w:w="1170"/>
          </w:tcPr>
          <w:p>
            <w:r>
              <w:t>64.7%</w:t>
            </w:r>
          </w:p>
        </w:tc>
        <w:tc>
          <w:tcPr>
            <w:tcW w:type="dxa" w:w="1170"/>
          </w:tcPr>
          <w:p>
            <w:r>
              <w:t>0.0% [0.0, 0.1]</w:t>
            </w:r>
          </w:p>
        </w:tc>
        <w:tc>
          <w:tcPr>
            <w:tcW w:type="dxa" w:w="1170"/>
          </w:tcPr>
          <w:p>
            <w:r>
              <w:t>0.0% [0.0, 1.9]</w:t>
            </w:r>
          </w:p>
        </w:tc>
        <w:tc>
          <w:tcPr>
            <w:tcW w:type="dxa" w:w="1170"/>
          </w:tcPr>
          <w:p>
            <w:r>
              <w:t>0.0% [0.0, 1.9]</w:t>
            </w:r>
          </w:p>
        </w:tc>
        <w:tc>
          <w:tcPr>
            <w:tcW w:type="dxa" w:w="1170"/>
          </w:tcPr>
          <w:p>
            <w:r>
              <w:t>1.5% [1.1, 1.9]</w:t>
            </w:r>
          </w:p>
        </w:tc>
      </w:tr>
      <w:tr>
        <w:trPr>
          <w:cantSplit/>
        </w:trPr>
        <w:tc>
          <w:tcPr>
            <w:tcW w:type="dxa" w:w="1170"/>
          </w:tcPr>
          <w:p>
            <w:r>
              <w:t>Isotropic 12mm</w:t>
            </w:r>
          </w:p>
        </w:tc>
        <w:tc>
          <w:tcPr>
            <w:tcW w:type="dxa" w:w="1170"/>
          </w:tcPr>
          <w:p>
            <w:r>
              <w:t>58.0</w:t>
            </w:r>
          </w:p>
        </w:tc>
        <w:tc>
          <w:tcPr>
            <w:tcW w:type="dxa" w:w="1170"/>
          </w:tcPr>
          <w:p>
            <w:r>
              <w:t>+181.6%</w:t>
            </w:r>
          </w:p>
        </w:tc>
        <w:tc>
          <w:tcPr>
            <w:tcW w:type="dxa" w:w="1170"/>
          </w:tcPr>
          <w:p>
            <w:r>
              <w:t>100.0%</w:t>
            </w:r>
          </w:p>
        </w:tc>
        <w:tc>
          <w:tcPr>
            <w:tcW w:type="dxa" w:w="1170"/>
          </w:tcPr>
          <w:p>
            <w:r>
              <w:t>29.9% [28.6, 31.1]</w:t>
            </w:r>
          </w:p>
        </w:tc>
        <w:tc>
          <w:tcPr>
            <w:tcW w:type="dxa" w:w="1170"/>
          </w:tcPr>
          <w:p>
            <w:r>
              <w:t>37.5% [31.1, 44.4]</w:t>
            </w:r>
          </w:p>
        </w:tc>
        <w:tc>
          <w:tcPr>
            <w:tcW w:type="dxa" w:w="1170"/>
          </w:tcPr>
          <w:p>
            <w:r>
              <w:t>31.5% [25.5, 38.2]</w:t>
            </w:r>
          </w:p>
        </w:tc>
        <w:tc>
          <w:tcPr>
            <w:tcW w:type="dxa" w:w="1170"/>
          </w:tcPr>
          <w:p>
            <w:r>
              <w:t>69.8% [66.3, 73.1]</w:t>
            </w:r>
          </w:p>
        </w:tc>
      </w:tr>
      <w:tr>
        <w:trPr>
          <w:cantSplit/>
        </w:trPr>
        <w:tc>
          <w:tcPr>
            <w:tcW w:type="dxa" w:w="1170"/>
          </w:tcPr>
          <w:p>
            <w:r>
              <w:t>ITV + 2mm setup</w:t>
            </w:r>
          </w:p>
        </w:tc>
        <w:tc>
          <w:tcPr>
            <w:tcW w:type="dxa" w:w="1170"/>
          </w:tcPr>
          <w:p>
            <w:r>
              <w:t>17.7</w:t>
            </w:r>
          </w:p>
        </w:tc>
        <w:tc>
          <w:tcPr>
            <w:tcW w:type="dxa" w:w="1170"/>
          </w:tcPr>
          <w:p>
            <w:r>
              <w:t>-14.2%</w:t>
            </w:r>
          </w:p>
        </w:tc>
        <w:tc>
          <w:tcPr>
            <w:tcW w:type="dxa" w:w="1170"/>
          </w:tcPr>
          <w:p>
            <w:r>
              <w:t>100.0%</w:t>
            </w:r>
          </w:p>
        </w:tc>
        <w:tc>
          <w:tcPr>
            <w:tcW w:type="dxa" w:w="1170"/>
          </w:tcPr>
          <w:p>
            <w:r>
              <w:t>48.5% [47.1, 49.9]</w:t>
            </w:r>
          </w:p>
        </w:tc>
        <w:tc>
          <w:tcPr>
            <w:tcW w:type="dxa" w:w="1170"/>
          </w:tcPr>
          <w:p>
            <w:r>
              <w:t>1.5% [0.5, 4.3]</w:t>
            </w:r>
          </w:p>
        </w:tc>
        <w:tc>
          <w:tcPr>
            <w:tcW w:type="dxa" w:w="1170"/>
          </w:tcPr>
          <w:p>
            <w:r>
              <w:t>0.0% [0.0, 1.9]</w:t>
            </w:r>
          </w:p>
        </w:tc>
        <w:tc>
          <w:tcPr>
            <w:tcW w:type="dxa" w:w="1170"/>
          </w:tcPr>
          <w:p>
            <w:r>
              <w:t>20.7% [19.0, 22.5]</w:t>
            </w:r>
          </w:p>
        </w:tc>
      </w:tr>
      <w:tr>
        <w:trPr>
          <w:cantSplit/>
        </w:trPr>
        <w:tc>
          <w:tcPr>
            <w:tcW w:type="dxa" w:w="1170"/>
          </w:tcPr>
          <w:p>
            <w:r>
              <w:t>ITV + 3mm setup</w:t>
            </w:r>
          </w:p>
        </w:tc>
        <w:tc>
          <w:tcPr>
            <w:tcW w:type="dxa" w:w="1170"/>
          </w:tcPr>
          <w:p>
            <w:r>
              <w:t>22.3</w:t>
            </w:r>
          </w:p>
        </w:tc>
        <w:tc>
          <w:tcPr>
            <w:tcW w:type="dxa" w:w="1170"/>
          </w:tcPr>
          <w:p>
            <w:r>
              <w:t>+8.3%</w:t>
            </w:r>
          </w:p>
        </w:tc>
        <w:tc>
          <w:tcPr>
            <w:tcW w:type="dxa" w:w="1170"/>
          </w:tcPr>
          <w:p>
            <w:r>
              <w:t>100.0%</w:t>
            </w:r>
          </w:p>
        </w:tc>
        <w:tc>
          <w:tcPr>
            <w:tcW w:type="dxa" w:w="1170"/>
          </w:tcPr>
          <w:p>
            <w:r>
              <w:t>68.3% [67.0, 69.5]</w:t>
            </w:r>
          </w:p>
        </w:tc>
        <w:tc>
          <w:tcPr>
            <w:tcW w:type="dxa" w:w="1170"/>
          </w:tcPr>
          <w:p>
            <w:r>
              <w:t>16.5% [12.0, 22.3]</w:t>
            </w:r>
          </w:p>
        </w:tc>
        <w:tc>
          <w:tcPr>
            <w:tcW w:type="dxa" w:w="1170"/>
          </w:tcPr>
          <w:p>
            <w:r>
              <w:t>6.0% [3.5, 10.2]</w:t>
            </w:r>
          </w:p>
        </w:tc>
        <w:tc>
          <w:tcPr>
            <w:tcW w:type="dxa" w:w="1170"/>
          </w:tcPr>
          <w:p>
            <w:r>
              <w:t>46.4% [43.6, 49.1]</w:t>
            </w:r>
          </w:p>
        </w:tc>
      </w:tr>
      <w:tr>
        <w:trPr>
          <w:cantSplit/>
        </w:trPr>
        <w:tc>
          <w:tcPr>
            <w:tcW w:type="dxa" w:w="1170"/>
          </w:tcPr>
          <w:p>
            <w:r>
              <w:t>ITV + 4mm (TG-324)</w:t>
            </w:r>
          </w:p>
        </w:tc>
        <w:tc>
          <w:tcPr>
            <w:tcW w:type="dxa" w:w="1170"/>
          </w:tcPr>
          <w:p>
            <w:r>
              <w:t>26.2</w:t>
            </w:r>
          </w:p>
        </w:tc>
        <w:tc>
          <w:tcPr>
            <w:tcW w:type="dxa" w:w="1170"/>
          </w:tcPr>
          <w:p>
            <w:r>
              <w:t>+27.3%</w:t>
            </w:r>
          </w:p>
        </w:tc>
        <w:tc>
          <w:tcPr>
            <w:tcW w:type="dxa" w:w="1170"/>
          </w:tcPr>
          <w:p>
            <w:r>
              <w:t>100.0%</w:t>
            </w:r>
          </w:p>
        </w:tc>
        <w:tc>
          <w:tcPr>
            <w:tcW w:type="dxa" w:w="1170"/>
          </w:tcPr>
          <w:p>
            <w:r>
              <w:t>87.2% [86.3, 88.1]</w:t>
            </w:r>
          </w:p>
        </w:tc>
        <w:tc>
          <w:tcPr>
            <w:tcW w:type="dxa" w:w="1170"/>
          </w:tcPr>
          <w:p>
            <w:r>
              <w:t>42.0% [35.4, 48.9]</w:t>
            </w:r>
          </w:p>
        </w:tc>
        <w:tc>
          <w:tcPr>
            <w:tcW w:type="dxa" w:w="1170"/>
          </w:tcPr>
          <w:p>
            <w:r>
              <w:t>27.0% [21.3, 33.5]</w:t>
            </w:r>
          </w:p>
        </w:tc>
        <w:tc>
          <w:tcPr>
            <w:tcW w:type="dxa" w:w="1170"/>
          </w:tcPr>
          <w:p>
            <w:r>
              <w:t>68.5% [65.7, 71.3]</w:t>
            </w:r>
          </w:p>
        </w:tc>
      </w:tr>
      <w:tr>
        <w:trPr>
          <w:cantSplit/>
        </w:trPr>
        <w:tc>
          <w:tcPr>
            <w:tcW w:type="dxa" w:w="1170"/>
          </w:tcPr>
          <w:p>
            <w:r>
              <w:t>ITV + 5mm (TG-324)</w:t>
            </w:r>
          </w:p>
        </w:tc>
        <w:tc>
          <w:tcPr>
            <w:tcW w:type="dxa" w:w="1170"/>
          </w:tcPr>
          <w:p>
            <w:r>
              <w:t>31.0</w:t>
            </w:r>
          </w:p>
        </w:tc>
        <w:tc>
          <w:tcPr>
            <w:tcW w:type="dxa" w:w="1170"/>
          </w:tcPr>
          <w:p>
            <w:r>
              <w:t>+50.3%</w:t>
            </w:r>
          </w:p>
        </w:tc>
        <w:tc>
          <w:tcPr>
            <w:tcW w:type="dxa" w:w="1170"/>
          </w:tcPr>
          <w:p>
            <w:r>
              <w:t>100.0%</w:t>
            </w:r>
          </w:p>
        </w:tc>
        <w:tc>
          <w:tcPr>
            <w:tcW w:type="dxa" w:w="1170"/>
          </w:tcPr>
          <w:p>
            <w:r>
              <w:t>96.2% [95.7, 96.7]</w:t>
            </w:r>
          </w:p>
        </w:tc>
        <w:tc>
          <w:tcPr>
            <w:tcW w:type="dxa" w:w="1170"/>
          </w:tcPr>
          <w:p>
            <w:r>
              <w:t>66.0% [59.2, 72.2]</w:t>
            </w:r>
          </w:p>
        </w:tc>
        <w:tc>
          <w:tcPr>
            <w:tcW w:type="dxa" w:w="1170"/>
          </w:tcPr>
          <w:p>
            <w:r>
              <w:t>53.0% [46.1, 59.8]</w:t>
            </w:r>
          </w:p>
        </w:tc>
        <w:tc>
          <w:tcPr>
            <w:tcW w:type="dxa" w:w="1170"/>
          </w:tcPr>
          <w:p>
            <w:r>
              <w:t>82.7% [80.5, 84.9]</w:t>
            </w:r>
          </w:p>
        </w:tc>
      </w:tr>
      <w:tr>
        <w:trPr>
          <w:cantSplit/>
        </w:trPr>
        <w:tc>
          <w:tcPr>
            <w:tcW w:type="dxa" w:w="1170"/>
          </w:tcPr>
          <w:p>
            <w:r>
              <w:t>Anisotropic (Mid-pos + 2mm setup)</w:t>
            </w:r>
          </w:p>
        </w:tc>
        <w:tc>
          <w:tcPr>
            <w:tcW w:type="dxa" w:w="1170"/>
          </w:tcPr>
          <w:p>
            <w:r>
              <w:t>19.3</w:t>
            </w:r>
          </w:p>
        </w:tc>
        <w:tc>
          <w:tcPr>
            <w:tcW w:type="dxa" w:w="1170"/>
          </w:tcPr>
          <w:p>
            <w:r>
              <w:t>-6.5%</w:t>
            </w:r>
          </w:p>
        </w:tc>
        <w:tc>
          <w:tcPr>
            <w:tcW w:type="dxa" w:w="1170"/>
          </w:tcPr>
          <w:p>
            <w:r>
              <w:t>99.4%</w:t>
            </w:r>
          </w:p>
        </w:tc>
        <w:tc>
          <w:tcPr>
            <w:tcW w:type="dxa" w:w="1170"/>
          </w:tcPr>
          <w:p>
            <w:r>
              <w:t>18.3% [17.3, 19.4]</w:t>
            </w:r>
          </w:p>
        </w:tc>
        <w:tc>
          <w:tcPr>
            <w:tcW w:type="dxa" w:w="1170"/>
          </w:tcPr>
          <w:p>
            <w:r>
              <w:t>0.5% [0.1, 2.8]</w:t>
            </w:r>
          </w:p>
        </w:tc>
        <w:tc>
          <w:tcPr>
            <w:tcW w:type="dxa" w:w="1170"/>
          </w:tcPr>
          <w:p>
            <w:r>
              <w:t>0.0% [0.0, 1.9]</w:t>
            </w:r>
          </w:p>
        </w:tc>
        <w:tc>
          <w:tcPr>
            <w:tcW w:type="dxa" w:w="1170"/>
          </w:tcPr>
          <w:p>
            <w:r>
              <w:t>20.4% [18.6, 22.2]</w:t>
            </w:r>
          </w:p>
        </w:tc>
      </w:tr>
      <w:tr>
        <w:trPr>
          <w:cantSplit/>
        </w:trPr>
        <w:tc>
          <w:tcPr>
            <w:tcW w:type="dxa" w:w="1170"/>
          </w:tcPr>
          <w:p>
            <w:r>
              <w:t>Anisotropic (Mid-pos + 3mm setup)</w:t>
            </w:r>
          </w:p>
        </w:tc>
        <w:tc>
          <w:tcPr>
            <w:tcW w:type="dxa" w:w="1170"/>
          </w:tcPr>
          <w:p>
            <w:r>
              <w:t>23.0</w:t>
            </w:r>
          </w:p>
        </w:tc>
        <w:tc>
          <w:tcPr>
            <w:tcW w:type="dxa" w:w="1170"/>
          </w:tcPr>
          <w:p>
            <w:r>
              <w:t>+11.6%</w:t>
            </w:r>
          </w:p>
        </w:tc>
        <w:tc>
          <w:tcPr>
            <w:tcW w:type="dxa" w:w="1170"/>
          </w:tcPr>
          <w:p>
            <w:r>
              <w:t>100.0%</w:t>
            </w:r>
          </w:p>
        </w:tc>
        <w:tc>
          <w:tcPr>
            <w:tcW w:type="dxa" w:w="1170"/>
          </w:tcPr>
          <w:p>
            <w:r>
              <w:t>53.1% [51.7, 54.5]</w:t>
            </w:r>
          </w:p>
        </w:tc>
        <w:tc>
          <w:tcPr>
            <w:tcW w:type="dxa" w:w="1170"/>
          </w:tcPr>
          <w:p>
            <w:r>
              <w:t>12.0% [8.2, 17.2]</w:t>
            </w:r>
          </w:p>
        </w:tc>
        <w:tc>
          <w:tcPr>
            <w:tcW w:type="dxa" w:w="1170"/>
          </w:tcPr>
          <w:p>
            <w:r>
              <w:t>4.0% [2.0, 7.7]</w:t>
            </w:r>
          </w:p>
        </w:tc>
        <w:tc>
          <w:tcPr>
            <w:tcW w:type="dxa" w:w="1170"/>
          </w:tcPr>
          <w:p>
            <w:r>
              <w:t>42.5% [39.8, 45.4]</w:t>
            </w:r>
          </w:p>
        </w:tc>
      </w:tr>
    </w:tbl>
    <w:p>
      <w:pPr>
        <w:jc w:val="center"/>
      </w:pPr>
      <w:r>
        <w:drawing>
          <wp:inline xmlns:a="http://schemas.openxmlformats.org/drawingml/2006/main" xmlns:pic="http://schemas.openxmlformats.org/drawingml/2006/picture">
            <wp:extent cx="5303520" cy="1890704"/>
            <wp:docPr id="3" name="Picture 3"/>
            <wp:cNvGraphicFramePr>
              <a:graphicFrameLocks noChangeAspect="1"/>
            </wp:cNvGraphicFramePr>
            <a:graphic>
              <a:graphicData uri="http://schemas.openxmlformats.org/drawingml/2006/picture">
                <pic:pic>
                  <pic:nvPicPr>
                    <pic:cNvPr id="0" name="fig3_coverage.png"/>
                    <pic:cNvPicPr/>
                  </pic:nvPicPr>
                  <pic:blipFill>
                    <a:blip r:embed="rId11"/>
                    <a:stretch>
                      <a:fillRect/>
                    </a:stretch>
                  </pic:blipFill>
                  <pic:spPr>
                    <a:xfrm>
                      <a:off x="0" y="0"/>
                      <a:ext cx="5303520" cy="1890704"/>
                    </a:xfrm>
                    <a:prstGeom prst="rect"/>
                  </pic:spPr>
                </pic:pic>
              </a:graphicData>
            </a:graphic>
          </wp:inline>
        </w:drawing>
      </w:r>
    </w:p>
    <w:p>
      <w:pPr>
        <w:keepNext/>
        <w:spacing w:after="160"/>
        <w:jc w:val="center"/>
      </w:pPr>
      <w:r>
        <w:rPr>
          <w:i/>
          <w:color w:val="475569"/>
          <w:sz w:val="19"/>
        </w:rPr>
        <w:t>Figure 3: Geometric Coverage Ratio vs phase on planning 4D-CT (unclipped 0-105% axes).</w:t>
      </w:r>
    </w:p>
    <w:p>
      <w:pPr>
        <w:jc w:val="center"/>
      </w:pPr>
      <w:r>
        <w:drawing>
          <wp:inline xmlns:a="http://schemas.openxmlformats.org/drawingml/2006/main" xmlns:pic="http://schemas.openxmlformats.org/drawingml/2006/picture">
            <wp:extent cx="5303520" cy="3668296"/>
            <wp:docPr id="4" name="Picture 4"/>
            <wp:cNvGraphicFramePr>
              <a:graphicFrameLocks noChangeAspect="1"/>
            </wp:cNvGraphicFramePr>
            <a:graphic>
              <a:graphicData uri="http://schemas.openxmlformats.org/drawingml/2006/picture">
                <pic:pic>
                  <pic:nvPicPr>
                    <pic:cNvPr id="0" name="fig4_tradeoff.png"/>
                    <pic:cNvPicPr/>
                  </pic:nvPicPr>
                  <pic:blipFill>
                    <a:blip r:embed="rId12"/>
                    <a:stretch>
                      <a:fillRect/>
                    </a:stretch>
                  </pic:blipFill>
                  <pic:spPr>
                    <a:xfrm>
                      <a:off x="0" y="0"/>
                      <a:ext cx="5303520" cy="3668296"/>
                    </a:xfrm>
                    <a:prstGeom prst="rect"/>
                  </pic:spPr>
                </pic:pic>
              </a:graphicData>
            </a:graphic>
          </wp:inline>
        </w:drawing>
      </w:r>
    </w:p>
    <w:p>
      <w:pPr>
        <w:keepNext/>
        <w:spacing w:after="160"/>
        <w:jc w:val="center"/>
      </w:pPr>
      <w:r>
        <w:rPr>
          <w:i/>
          <w:color w:val="475569"/>
          <w:sz w:val="19"/>
        </w:rPr>
        <w:t>Figure 4: Trade-off between PTV volume and minimum target coverage under regular respiration with staggered method labels.</w:t>
      </w:r>
    </w:p>
    <w:p>
      <w:r>
        <w:br w:type="page"/>
      </w:r>
    </w:p>
    <w:p>
      <w:pPr>
        <w:pStyle w:val="Heading2"/>
      </w:pPr>
      <w:r>
        <w:t>3.4 Multi-Lesion Target Coverage Robustness (Table 4)</w:t>
      </w:r>
    </w:p>
    <w:p>
      <w:r>
        <w:t>To evaluate how anatomical tumor dimensions influence sensitivity to breathing variations and setup shifts, target coverage was simulated across small (r=8 mm, 2.1 cc), nominal (r=12 mm, 7.2 cc), and large (r=16 mm, 17.2 cc) lesions under identical motion and setup uncertainty models (N = 2,000 Monte Carlo cycles per size, N_pat = 200 virtual patients, SBRT 5-fx). Table 4 details the findings.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cantSplit/>
        </w:trPr>
        <w:tc>
          <w:tcPr>
            <w:tcW w:type="dxa" w:w="1337"/>
          </w:tcPr>
          <w:p>
            <w:r>
              <w:rPr>
                <w:b/>
              </w:rPr>
              <w:t>Lesion Radius (mm)</w:t>
            </w:r>
          </w:p>
        </w:tc>
        <w:tc>
          <w:tcPr>
            <w:tcW w:type="dxa" w:w="1337"/>
          </w:tcPr>
          <w:p>
            <w:r>
              <w:rPr>
                <w:b/>
              </w:rPr>
              <w:t>Target Strategy</w:t>
            </w:r>
          </w:p>
        </w:tc>
        <w:tc>
          <w:tcPr>
            <w:tcW w:type="dxa" w:w="1337"/>
          </w:tcPr>
          <w:p>
            <w:r>
              <w:rPr>
                <w:b/>
              </w:rPr>
              <w:t>PTV Vol (cc)</w:t>
            </w:r>
          </w:p>
        </w:tc>
        <w:tc>
          <w:tcPr>
            <w:tcW w:type="dxa" w:w="1337"/>
          </w:tcPr>
          <w:p>
            <w:r>
              <w:rPr>
                <w:b/>
              </w:rPr>
              <w:t>Plan Min CR</w:t>
            </w:r>
          </w:p>
        </w:tc>
        <w:tc>
          <w:tcPr>
            <w:tcW w:type="dxa" w:w="1337"/>
          </w:tcPr>
          <w:p>
            <w:r>
              <w:rPr>
                <w:b/>
              </w:rPr>
              <w:t>Irreg MC Pass (95% Wilson CI)</w:t>
            </w:r>
          </w:p>
        </w:tc>
        <w:tc>
          <w:tcPr>
            <w:tcW w:type="dxa" w:w="1337"/>
          </w:tcPr>
          <w:p>
            <w:r>
              <w:rPr>
                <w:b/>
              </w:rPr>
              <w:t>SBRT 5fx Frac Pass (95% ClusterBoot)</w:t>
            </w:r>
          </w:p>
        </w:tc>
        <w:tc>
          <w:tcPr>
            <w:tcW w:type="dxa" w:w="1337"/>
          </w:tcPr>
          <w:p>
            <w:r>
              <w:rPr>
                <w:b/>
              </w:rPr>
              <w:t>SBRT 5fx All-Pass (95% Wilson CI)</w:t>
            </w:r>
          </w:p>
        </w:tc>
      </w:tr>
      <w:tr>
        <w:trPr>
          <w:cantSplit/>
        </w:trPr>
        <w:tc>
          <w:tcPr>
            <w:tcW w:type="dxa" w:w="1337"/>
          </w:tcPr>
          <w:p>
            <w:r>
              <w:t>r = 8 mm (Small)</w:t>
            </w:r>
          </w:p>
        </w:tc>
        <w:tc>
          <w:tcPr>
            <w:tcW w:type="dxa" w:w="1337"/>
          </w:tcPr>
          <w:p>
            <w:r>
              <w:t>ITV + 3mm setup</w:t>
            </w:r>
          </w:p>
        </w:tc>
        <w:tc>
          <w:tcPr>
            <w:tcW w:type="dxa" w:w="1337"/>
          </w:tcPr>
          <w:p>
            <w:r>
              <w:t>9.9</w:t>
            </w:r>
          </w:p>
        </w:tc>
        <w:tc>
          <w:tcPr>
            <w:tcW w:type="dxa" w:w="1337"/>
          </w:tcPr>
          <w:p>
            <w:r>
              <w:t>100.0%</w:t>
            </w:r>
          </w:p>
        </w:tc>
        <w:tc>
          <w:tcPr>
            <w:tcW w:type="dxa" w:w="1337"/>
          </w:tcPr>
          <w:p>
            <w:r>
              <w:t>54.9% [52.7, 57.1]</w:t>
            </w:r>
          </w:p>
        </w:tc>
        <w:tc>
          <w:tcPr>
            <w:tcW w:type="dxa" w:w="1337"/>
          </w:tcPr>
          <w:p>
            <w:r>
              <w:t>33.2% [29.8, 36.5]</w:t>
            </w:r>
          </w:p>
        </w:tc>
        <w:tc>
          <w:tcPr>
            <w:tcW w:type="dxa" w:w="1337"/>
          </w:tcPr>
          <w:p>
            <w:r>
              <w:t>0.5% [0.1, 2.8]</w:t>
            </w:r>
          </w:p>
        </w:tc>
      </w:tr>
      <w:tr>
        <w:trPr>
          <w:cantSplit/>
        </w:trPr>
        <w:tc>
          <w:tcPr>
            <w:tcW w:type="dxa" w:w="1337"/>
          </w:tcPr>
          <w:p>
            <w:r>
              <w:t>r = 8 mm (Small)</w:t>
            </w:r>
          </w:p>
        </w:tc>
        <w:tc>
          <w:tcPr>
            <w:tcW w:type="dxa" w:w="1337"/>
          </w:tcPr>
          <w:p>
            <w:r>
              <w:t>ITV + 5mm setup</w:t>
            </w:r>
          </w:p>
        </w:tc>
        <w:tc>
          <w:tcPr>
            <w:tcW w:type="dxa" w:w="1337"/>
          </w:tcPr>
          <w:p>
            <w:r>
              <w:t>15.1</w:t>
            </w:r>
          </w:p>
        </w:tc>
        <w:tc>
          <w:tcPr>
            <w:tcW w:type="dxa" w:w="1337"/>
          </w:tcPr>
          <w:p>
            <w:r>
              <w:t>100.0%</w:t>
            </w:r>
          </w:p>
        </w:tc>
        <w:tc>
          <w:tcPr>
            <w:tcW w:type="dxa" w:w="1337"/>
          </w:tcPr>
          <w:p>
            <w:r>
              <w:t>86.3% [84.7, 87.7]</w:t>
            </w:r>
          </w:p>
        </w:tc>
        <w:tc>
          <w:tcPr>
            <w:tcW w:type="dxa" w:w="1337"/>
          </w:tcPr>
          <w:p>
            <w:r>
              <w:t>73.8% [70.4, 77.1]</w:t>
            </w:r>
          </w:p>
        </w:tc>
        <w:tc>
          <w:tcPr>
            <w:tcW w:type="dxa" w:w="1337"/>
          </w:tcPr>
          <w:p>
            <w:r>
              <w:t>29.5% [23.6, 36.2]</w:t>
            </w:r>
          </w:p>
        </w:tc>
      </w:tr>
      <w:tr>
        <w:trPr>
          <w:cantSplit/>
        </w:trPr>
        <w:tc>
          <w:tcPr>
            <w:tcW w:type="dxa" w:w="1337"/>
          </w:tcPr>
          <w:p>
            <w:r>
              <w:t>r = 12 mm (Nominal)</w:t>
            </w:r>
          </w:p>
        </w:tc>
        <w:tc>
          <w:tcPr>
            <w:tcW w:type="dxa" w:w="1337"/>
          </w:tcPr>
          <w:p>
            <w:r>
              <w:t>ITV + 3mm setup</w:t>
            </w:r>
          </w:p>
        </w:tc>
        <w:tc>
          <w:tcPr>
            <w:tcW w:type="dxa" w:w="1337"/>
          </w:tcPr>
          <w:p>
            <w:r>
              <w:t>22.3</w:t>
            </w:r>
          </w:p>
        </w:tc>
        <w:tc>
          <w:tcPr>
            <w:tcW w:type="dxa" w:w="1337"/>
          </w:tcPr>
          <w:p>
            <w:r>
              <w:t>100.0%</w:t>
            </w:r>
          </w:p>
        </w:tc>
        <w:tc>
          <w:tcPr>
            <w:tcW w:type="dxa" w:w="1337"/>
          </w:tcPr>
          <w:p>
            <w:r>
              <w:t>67.8% [65.7, 69.8]</w:t>
            </w:r>
          </w:p>
        </w:tc>
        <w:tc>
          <w:tcPr>
            <w:tcW w:type="dxa" w:w="1337"/>
          </w:tcPr>
          <w:p>
            <w:r>
              <w:t>45.8% [41.8, 49.7]</w:t>
            </w:r>
          </w:p>
        </w:tc>
        <w:tc>
          <w:tcPr>
            <w:tcW w:type="dxa" w:w="1337"/>
          </w:tcPr>
          <w:p>
            <w:r>
              <w:t>6.5% [3.8, 10.8]</w:t>
            </w:r>
          </w:p>
        </w:tc>
      </w:tr>
      <w:tr>
        <w:trPr>
          <w:cantSplit/>
        </w:trPr>
        <w:tc>
          <w:tcPr>
            <w:tcW w:type="dxa" w:w="1337"/>
          </w:tcPr>
          <w:p>
            <w:r>
              <w:t>r = 12 mm (Nominal)</w:t>
            </w:r>
          </w:p>
        </w:tc>
        <w:tc>
          <w:tcPr>
            <w:tcW w:type="dxa" w:w="1337"/>
          </w:tcPr>
          <w:p>
            <w:r>
              <w:t>ITV + 5mm setup</w:t>
            </w:r>
          </w:p>
        </w:tc>
        <w:tc>
          <w:tcPr>
            <w:tcW w:type="dxa" w:w="1337"/>
          </w:tcPr>
          <w:p>
            <w:r>
              <w:t>31.0</w:t>
            </w:r>
          </w:p>
        </w:tc>
        <w:tc>
          <w:tcPr>
            <w:tcW w:type="dxa" w:w="1337"/>
          </w:tcPr>
          <w:p>
            <w:r>
              <w:t>100.0%</w:t>
            </w:r>
          </w:p>
        </w:tc>
        <w:tc>
          <w:tcPr>
            <w:tcW w:type="dxa" w:w="1337"/>
          </w:tcPr>
          <w:p>
            <w:r>
              <w:t>96.3% [95.4, 97.0]</w:t>
            </w:r>
          </w:p>
        </w:tc>
        <w:tc>
          <w:tcPr>
            <w:tcW w:type="dxa" w:w="1337"/>
          </w:tcPr>
          <w:p>
            <w:r>
              <w:t>84.3% [81.4, 87.1]</w:t>
            </w:r>
          </w:p>
        </w:tc>
        <w:tc>
          <w:tcPr>
            <w:tcW w:type="dxa" w:w="1337"/>
          </w:tcPr>
          <w:p>
            <w:r>
              <w:t>51.0% [44.1, 57.8]</w:t>
            </w:r>
          </w:p>
        </w:tc>
      </w:tr>
      <w:tr>
        <w:trPr>
          <w:cantSplit/>
        </w:trPr>
        <w:tc>
          <w:tcPr>
            <w:tcW w:type="dxa" w:w="1337"/>
          </w:tcPr>
          <w:p>
            <w:r>
              <w:t>r = 16 mm (Large)</w:t>
            </w:r>
          </w:p>
        </w:tc>
        <w:tc>
          <w:tcPr>
            <w:tcW w:type="dxa" w:w="1337"/>
          </w:tcPr>
          <w:p>
            <w:r>
              <w:t>ITV + 3mm setup</w:t>
            </w:r>
          </w:p>
        </w:tc>
        <w:tc>
          <w:tcPr>
            <w:tcW w:type="dxa" w:w="1337"/>
          </w:tcPr>
          <w:p>
            <w:r>
              <w:t>41.7</w:t>
            </w:r>
          </w:p>
        </w:tc>
        <w:tc>
          <w:tcPr>
            <w:tcW w:type="dxa" w:w="1337"/>
          </w:tcPr>
          <w:p>
            <w:r>
              <w:t>100.0%</w:t>
            </w:r>
          </w:p>
        </w:tc>
        <w:tc>
          <w:tcPr>
            <w:tcW w:type="dxa" w:w="1337"/>
          </w:tcPr>
          <w:p>
            <w:r>
              <w:t>81.2% [79.5, 82.9]</w:t>
            </w:r>
          </w:p>
        </w:tc>
        <w:tc>
          <w:tcPr>
            <w:tcW w:type="dxa" w:w="1337"/>
          </w:tcPr>
          <w:p>
            <w:r>
              <w:t>53.7% [49.9, 57.4]</w:t>
            </w:r>
          </w:p>
        </w:tc>
        <w:tc>
          <w:tcPr>
            <w:tcW w:type="dxa" w:w="1337"/>
          </w:tcPr>
          <w:p>
            <w:r>
              <w:t>9.0% [5.8, 13.8]</w:t>
            </w:r>
          </w:p>
        </w:tc>
      </w:tr>
      <w:tr>
        <w:trPr>
          <w:cantSplit/>
        </w:trPr>
        <w:tc>
          <w:tcPr>
            <w:tcW w:type="dxa" w:w="1337"/>
          </w:tcPr>
          <w:p>
            <w:r>
              <w:t>r = 16 mm (Large)</w:t>
            </w:r>
          </w:p>
        </w:tc>
        <w:tc>
          <w:tcPr>
            <w:tcW w:type="dxa" w:w="1337"/>
          </w:tcPr>
          <w:p>
            <w:r>
              <w:t>ITV + 5mm setup</w:t>
            </w:r>
          </w:p>
        </w:tc>
        <w:tc>
          <w:tcPr>
            <w:tcW w:type="dxa" w:w="1337"/>
          </w:tcPr>
          <w:p>
            <w:r>
              <w:t>54.5</w:t>
            </w:r>
          </w:p>
        </w:tc>
        <w:tc>
          <w:tcPr>
            <w:tcW w:type="dxa" w:w="1337"/>
          </w:tcPr>
          <w:p>
            <w:r>
              <w:t>100.0%</w:t>
            </w:r>
          </w:p>
        </w:tc>
        <w:tc>
          <w:tcPr>
            <w:tcW w:type="dxa" w:w="1337"/>
          </w:tcPr>
          <w:p>
            <w:r>
              <w:t>97.9% [97.1, 98.4]</w:t>
            </w:r>
          </w:p>
        </w:tc>
        <w:tc>
          <w:tcPr>
            <w:tcW w:type="dxa" w:w="1337"/>
          </w:tcPr>
          <w:p>
            <w:r>
              <w:t>88.0% [85.5, 90.3]</w:t>
            </w:r>
          </w:p>
        </w:tc>
        <w:tc>
          <w:tcPr>
            <w:tcW w:type="dxa" w:w="1337"/>
          </w:tcPr>
          <w:p>
            <w:r>
              <w:t>60.0% [53.1, 66.5]</w:t>
            </w:r>
          </w:p>
        </w:tc>
      </w:tr>
    </w:tbl>
    <w:p>
      <w:pPr>
        <w:pStyle w:val="Heading2"/>
      </w:pPr>
      <w:r>
        <w:t>3.5 Monte Carlo Robustness and Population Setup Uncertainty</w:t>
      </w:r>
    </w:p>
    <w:p>
      <w:r>
        <w:t>Figure 5 presents a dual-panel analysis distinguishing binomial pass probability from continuous minimum coverage ratio. Panel A presents the pass probability (P(CR_min &gt;= 95%)) with 95% Wilson score confidence intervals across motion amplitudes (Az = 10 to 22 mm). Panel B presents the continuous minimum Coverage Ratio showing the mean alongside the empirical 95% inter-percentile range [P2.5, P97.5]. Figure 6 illustrates population setup uncertainty distributions across 200 virtual patients.</w:t>
      </w:r>
    </w:p>
    <w:p>
      <w:pPr>
        <w:jc w:val="center"/>
      </w:pPr>
      <w:r>
        <w:drawing>
          <wp:inline xmlns:a="http://schemas.openxmlformats.org/drawingml/2006/main" xmlns:pic="http://schemas.openxmlformats.org/drawingml/2006/picture">
            <wp:extent cx="5303520" cy="1891385"/>
            <wp:docPr id="5" name="Picture 5"/>
            <wp:cNvGraphicFramePr>
              <a:graphicFrameLocks noChangeAspect="1"/>
            </wp:cNvGraphicFramePr>
            <a:graphic>
              <a:graphicData uri="http://schemas.openxmlformats.org/drawingml/2006/picture">
                <pic:pic>
                  <pic:nvPicPr>
                    <pic:cNvPr id="0" name="fig5_robustness_amplitude.png"/>
                    <pic:cNvPicPr/>
                  </pic:nvPicPr>
                  <pic:blipFill>
                    <a:blip r:embed="rId13"/>
                    <a:stretch>
                      <a:fillRect/>
                    </a:stretch>
                  </pic:blipFill>
                  <pic:spPr>
                    <a:xfrm>
                      <a:off x="0" y="0"/>
                      <a:ext cx="5303520" cy="1891385"/>
                    </a:xfrm>
                    <a:prstGeom prst="rect"/>
                  </pic:spPr>
                </pic:pic>
              </a:graphicData>
            </a:graphic>
          </wp:inline>
        </w:drawing>
      </w:r>
    </w:p>
    <w:p>
      <w:pPr>
        <w:keepNext/>
        <w:spacing w:after="160"/>
        <w:jc w:val="center"/>
      </w:pPr>
      <w:r>
        <w:rPr>
          <w:i/>
          <w:color w:val="475569"/>
          <w:sz w:val="19"/>
        </w:rPr>
        <w:t>Figure 5: Dual-panel target coverage robustness across motion amplitudes (Az = 10 to 22 mm): (A) Pass Rate with 95% Wilson Score CIs; (B) Continuous Minimum Coverage Ratio with mean and empirical 95% range [P2.5, P97.5].</w:t>
      </w:r>
    </w:p>
    <w:p>
      <w:pPr>
        <w:jc w:val="center"/>
      </w:pPr>
      <w:r>
        <w:drawing>
          <wp:inline xmlns:a="http://schemas.openxmlformats.org/drawingml/2006/main" xmlns:pic="http://schemas.openxmlformats.org/drawingml/2006/picture">
            <wp:extent cx="5303520" cy="1967096"/>
            <wp:docPr id="6" name="Picture 6"/>
            <wp:cNvGraphicFramePr>
              <a:graphicFrameLocks noChangeAspect="1"/>
            </wp:cNvGraphicFramePr>
            <a:graphic>
              <a:graphicData uri="http://schemas.openxmlformats.org/drawingml/2006/picture">
                <pic:pic>
                  <pic:nvPicPr>
                    <pic:cNvPr id="0" name="fig6_setup_uncertainty.png"/>
                    <pic:cNvPicPr/>
                  </pic:nvPicPr>
                  <pic:blipFill>
                    <a:blip r:embed="rId14"/>
                    <a:stretch>
                      <a:fillRect/>
                    </a:stretch>
                  </pic:blipFill>
                  <pic:spPr>
                    <a:xfrm>
                      <a:off x="0" y="0"/>
                      <a:ext cx="5303520" cy="1967096"/>
                    </a:xfrm>
                    <a:prstGeom prst="rect"/>
                  </pic:spPr>
                </pic:pic>
              </a:graphicData>
            </a:graphic>
          </wp:inline>
        </w:drawing>
      </w:r>
    </w:p>
    <w:p>
      <w:pPr>
        <w:keepNext/>
        <w:spacing w:after="160"/>
        <w:jc w:val="center"/>
      </w:pPr>
      <w:r>
        <w:rPr>
          <w:i/>
          <w:color w:val="475569"/>
          <w:sz w:val="19"/>
        </w:rPr>
        <w:t>Figure 6: Multi-regimen setup uncertainty across 200 virtual patients comparing CFRT 30-fraction distribution (left) and SBRT 3-fx &amp; 5-fx all-pass rates (right).</w:t>
      </w:r>
    </w:p>
    <w:p>
      <w:pPr>
        <w:pStyle w:val="Heading1"/>
      </w:pPr>
      <w:r>
        <w:t>4. Discussion and Limitations</w:t>
      </w:r>
    </w:p>
    <w:p>
      <w:r>
        <w:t>This study demonstrates that while anisotropic and tight ITV margins (&lt;= 3 mm) offer substantial theoretical PTV volume reduction (acting as a geometric surrogate for normal tissue sparing) under idealized regular breathing, they are highly vulnerable to baseline drift and setup uncertainty, particularly in hypofractionated SBRT. Expanding the setup margin to ITV + 5 mm restores substantial coverage robustness (53.0% SBRT 5-fx all-pass, 82.7% CFRT 30-fx fraction-pass), directly supporting AAPM TG-324 Report 91.b [2] as a commonly utilized clinical baseline. However, even with ITV + 5 mm, geometric undercoverage persists in 17.3% of fractions in CFRT and 47.0% of patient courses in 5-fraction SBRT, confirming that margin expansion alone cannot replace active daily volumetric image guidance.</w:t>
      </w:r>
    </w:p>
    <w:p>
      <w:r>
        <w:t>Study Limitations: (1) Rigid phantom target does not model non-rigid lung deformation [13]; (2) Coverage Ratio &gt;= 95% is a geometric surrogate, whereas absorbed dose involves tissue density heterogeneities [5, 7]; (3) Real-world external surrogates can exhibit phase mismatch with internal motion [1, 12]; (4) Hypofractionated radiobiology involves biological effective dose escalation [18, 19]; (5) CBCT guidance was discussed based on established literature rather than direct in silico modeling of imaging-based couch correction shifts.</w:t>
      </w:r>
    </w:p>
    <w:p>
      <w:pPr>
        <w:pStyle w:val="Heading1"/>
      </w:pPr>
      <w:r>
        <w:t>5. Conclusion</w:t>
      </w:r>
    </w:p>
    <w:p>
      <w:r>
        <w:t>While expanding to ITV + 5 mm substantially improves coverage robustness compared to tight 3 mm margins, geometric undercoverage persists in 17.3% of fractions in CFRT and 47.0% of whole courses in SBRT 5-fx without daily correction. Therefore, in concordance with AAPM TG-324 Report 91.b, ITV margins of 4 to 5 mm represent a commonly utilized clinical baseline for free-breathing lung SBRT, but remain insufficient for aggressive margin reduction unless coupled with daily volumetric image guidance (CBCT) and active motion management.</w:t>
      </w:r>
    </w:p>
    <w:p>
      <w:pPr>
        <w:pStyle w:val="Heading1"/>
      </w:pPr>
      <w:r>
        <w:t>Data and Code Availability</w:t>
      </w:r>
    </w:p>
    <w:p>
      <w:r>
        <w:t>The complete simulation pipeline, source code, phantom generation routines, analysis scripts, and simulation databases are openly available under the MIT open-source license at https://github.com/anhvu7123/4d-ct-lung-motion. The random seed (seed=42 for main simulation and setup cohorts) is declared across all primary modules to ensure exact bitwise reproducibility.</w:t>
      </w:r>
    </w:p>
    <w:p>
      <w:pPr>
        <w:pStyle w:val="Heading1"/>
      </w:pPr>
      <w:r>
        <w:t>References</w:t>
      </w:r>
    </w:p>
    <w:p>
      <w:pPr>
        <w:ind w:left="360"/>
      </w:pPr>
      <w:r>
        <w:rPr>
          <w:sz w:val="19"/>
        </w:rPr>
        <w:t>1. Keall PJ, Mageras GS, Balter JM, et al. The management of respiratory motion in radiation oncology report of AAPM Task Group 76. Med Phys. 2006;33(10):3874-3900.</w:t>
      </w:r>
    </w:p>
    <w:p>
      <w:pPr>
        <w:ind w:left="360"/>
      </w:pPr>
      <w:r>
        <w:rPr>
          <w:sz w:val="19"/>
        </w:rPr>
        <w:t>2. AAPM Task Group 324 Report 91.b. The Management of Respiratory Motion in Radiation Oncology. Med Phys. 2026. DOI: 10.1002/mp.70677.</w:t>
      </w:r>
    </w:p>
    <w:p>
      <w:pPr>
        <w:ind w:left="360"/>
      </w:pPr>
      <w:r>
        <w:rPr>
          <w:sz w:val="19"/>
        </w:rPr>
        <w:t>3. van Herk M. Errors and margins in radiotherapy. Semin Radiat Oncol. 2004;14(1):52-64.</w:t>
      </w:r>
    </w:p>
    <w:p>
      <w:pPr>
        <w:ind w:left="360"/>
      </w:pPr>
      <w:r>
        <w:rPr>
          <w:sz w:val="19"/>
        </w:rPr>
        <w:t>4. van Herk M, Remeijer P, Rasch C, Lebesque JV. The probability of correct target dosage: dose-population histograms for deriving margins. Int J Radiat Oncol Biol Phys. 2000;47(4):1121-1135.</w:t>
      </w:r>
    </w:p>
    <w:p>
      <w:pPr>
        <w:ind w:left="360"/>
      </w:pPr>
      <w:r>
        <w:rPr>
          <w:sz w:val="19"/>
        </w:rPr>
        <w:t>5. Lujan AE, Larsen EW, Balter JM, Ten Haken RK. A method for incorporating organ motion due to breathing into 3D dose calculations. Med Phys. 1999;26(5):715-720.</w:t>
      </w:r>
    </w:p>
    <w:p>
      <w:pPr>
        <w:ind w:left="360"/>
      </w:pPr>
      <w:r>
        <w:rPr>
          <w:sz w:val="19"/>
        </w:rPr>
        <w:t>6. Seppenwoolde Y, Shirato H, Kitamura K, et al. Precise and real-time measurement of 3D tumor motion in lung due to breathing and heartbeat, measured during radiotherapy. Int J Radiat Oncol Biol Phys. 2002;53(4):822-834.</w:t>
      </w:r>
    </w:p>
    <w:p>
      <w:pPr>
        <w:ind w:left="360"/>
      </w:pPr>
      <w:r>
        <w:rPr>
          <w:sz w:val="19"/>
        </w:rPr>
        <w:t>7. International Commission on Radiation Units and Measurements. Prescribing, Recording, and Reporting Photon-Beam Intensity-Modulated Radiation Therapy (ICRU Report 83). J ICRU. 2010;10(1).</w:t>
      </w:r>
    </w:p>
    <w:p>
      <w:pPr>
        <w:ind w:left="360"/>
      </w:pPr>
      <w:r>
        <w:rPr>
          <w:sz w:val="19"/>
        </w:rPr>
        <w:t>8. Underberg RWM, Lagerwaard FJ, Slotman BJ, Cuijpers JP, Senan S. Use of maximum intensity projections (MIP) for target volume generation in 4DCT scans for lung cancer. Int J Radiat Oncol Biol Phys. 2005;63(1):253-260.</w:t>
      </w:r>
    </w:p>
    <w:p>
      <w:pPr>
        <w:ind w:left="360"/>
      </w:pPr>
      <w:r>
        <w:rPr>
          <w:sz w:val="19"/>
        </w:rPr>
        <w:t>9. Wolthaus JW, Sonke JJ, van Herk M, Belderbos JS, Rossi MM, Lebesque JV, Damen EM. Reconstruction of a time-averaged midposition CT scan for radiotherapy planning of lung cancer patients using deformable registration. Med Phys. 2008;35(9):3998-4011.</w:t>
      </w:r>
    </w:p>
    <w:p>
      <w:pPr>
        <w:ind w:left="360"/>
      </w:pPr>
      <w:r>
        <w:rPr>
          <w:sz w:val="19"/>
        </w:rPr>
        <w:t>10. Sonke JJ, Lebesque J, de Bois J, et al. Frameless stereotactic body radiotherapy for lung cancer using four-dimensional cone beam CT guidance. Int J Radiat Oncol Biol Phys. 2008;70(2):590-598.</w:t>
      </w:r>
    </w:p>
    <w:p>
      <w:pPr>
        <w:ind w:left="360"/>
      </w:pPr>
      <w:r>
        <w:rPr>
          <w:sz w:val="19"/>
        </w:rPr>
        <w:t>11. Shirato H, Shimizu S, Kitamura K, et al. Four-dimensional treatment planning and fluoroscopic real-time tumor-tracking radiotherapy for moving tumor. Int J Radiat Oncol Biol Phys. 2000;48(2):435-442.</w:t>
      </w:r>
    </w:p>
    <w:p>
      <w:pPr>
        <w:ind w:left="360"/>
      </w:pPr>
      <w:r>
        <w:rPr>
          <w:sz w:val="19"/>
        </w:rPr>
        <w:t>12. Vedam SS, Keall PJ, Kini VR, Mostafavi H, Shukla HP, Mohan R. Acquiring a four-dimensional computed tomography dataset using an external respiratory signal. Phys Med Biol. 2003;48(1):45-62.</w:t>
      </w:r>
    </w:p>
    <w:p>
      <w:pPr>
        <w:ind w:left="360"/>
      </w:pPr>
      <w:r>
        <w:rPr>
          <w:sz w:val="19"/>
        </w:rPr>
        <w:t>13. Rietzel E, Chen GT, Choi NC, Willett CG. Four-dimensional image-based treatment planning: Target volume segmentation and dose calculation in the presence of respiratory motion. Int J Radiat Oncol Biol Phys. 2005;61(5):1535-1550.</w:t>
      </w:r>
    </w:p>
    <w:p>
      <w:pPr>
        <w:ind w:left="360"/>
      </w:pPr>
      <w:r>
        <w:rPr>
          <w:sz w:val="19"/>
        </w:rPr>
        <w:t>14. Engelsman M, Sharp GC, Bortfeld T, Onimaru R, Shirato H. How much margin reduction is possible with respiratory gating? Int J Radiat Oncol Biol Phys. 2001;50(5):1357-1365.</w:t>
      </w:r>
    </w:p>
    <w:p>
      <w:pPr>
        <w:ind w:left="360"/>
      </w:pPr>
      <w:r>
        <w:rPr>
          <w:sz w:val="19"/>
        </w:rPr>
        <w:t>15. Guckenberger M, Meyer J, Wilbert J, et al. Precision of image-guided radiotherapy (IGRT) in patient positioning and target volume definition for stereotactic body radiotherapy of lung cancer. Int J Radiat Oncol Biol Phys. 2009;74(2):581-588.</w:t>
      </w:r>
    </w:p>
    <w:p>
      <w:pPr>
        <w:ind w:left="360"/>
      </w:pPr>
      <w:r>
        <w:rPr>
          <w:sz w:val="19"/>
        </w:rPr>
        <w:t>16. Bissonnette JP, Balter PA, Dong L, et al. Quality assurance for image-guided radiation therapy: report of AAPM Task Group 179. Med Phys. 2012;39(4):1946-1963.</w:t>
      </w:r>
    </w:p>
    <w:p>
      <w:pPr>
        <w:ind w:left="360"/>
      </w:pPr>
      <w:r>
        <w:rPr>
          <w:sz w:val="19"/>
        </w:rPr>
        <w:t>17. Wilson EB. Probable inference, the law of large numbers, and test of bias. J Am Stat Assoc. 1927;22(158):209-212.</w:t>
      </w:r>
    </w:p>
    <w:p>
      <w:pPr>
        <w:ind w:left="360"/>
      </w:pPr>
      <w:r>
        <w:rPr>
          <w:sz w:val="19"/>
        </w:rPr>
        <w:t>18. Timmerman R, McGarry M, Yiannoutsos C, et al. Extracranial stereotactic radioablation: results of a phase I study in medically inoperable stage I non-small cell lung cancer. J Clin Oncol. 2006;24(30):4833-4839.</w:t>
      </w:r>
    </w:p>
    <w:p>
      <w:pPr>
        <w:ind w:left="360"/>
      </w:pPr>
      <w:r>
        <w:rPr>
          <w:sz w:val="19"/>
        </w:rPr>
        <w:t>19. Benedict SH, Yenice KM, Followill D, et al. Stereotactic body radiation therapy: the report of AAPM Task Group 101. Med Phys. 2010;37(8):4078-4101.</w:t>
      </w:r>
    </w:p>
    <w:p>
      <w:pPr>
        <w:ind w:left="360"/>
      </w:pPr>
      <w:r>
        <w:rPr>
          <w:sz w:val="19"/>
        </w:rPr>
        <w:t>20. Stroom JC, de Boer HC, Huizenga H, Visser AG. Inclusion of geometrical uncertainties in radiotherapy treatment planning by means of coverage probability. Int J Radiat Oncol Biol Phys. 1999;43(4):905-919.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80"/>
    </w:pPr>
    <w:rPr>
      <w:rFonts w:ascii="Times New Roman" w:hAnsi="Times New Roman"/>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60"/>
      <w:outlineLvl w:val="0"/>
    </w:pPr>
    <w:rPr>
      <w:rFonts w:asciiTheme="majorHAnsi" w:eastAsiaTheme="majorEastAsia" w:hAnsiTheme="majorHAnsi" w:cstheme="majorBidi" w:ascii="Times New Roman" w:hAnsi="Times New Roman"/>
      <w:b/>
      <w:bCs/>
      <w:color w:val="1E3A8A"/>
      <w:sz w:val="26"/>
      <w:szCs w:val="28"/>
    </w:rPr>
  </w:style>
  <w:style w:type="paragraph" w:styleId="Heading2">
    <w:name w:val="heading 2"/>
    <w:basedOn w:val="Normal"/>
    <w:next w:val="Normal"/>
    <w:link w:val="Heading2Char"/>
    <w:uiPriority w:val="9"/>
    <w:unhideWhenUsed/>
    <w:qFormat/>
    <w:rsid w:val="00FC693F"/>
    <w:pPr>
      <w:keepNext/>
      <w:keepLines/>
      <w:spacing w:before="160" w:after="40"/>
      <w:outlineLvl w:val="1"/>
    </w:pPr>
    <w:rPr>
      <w:rFonts w:asciiTheme="majorHAnsi" w:eastAsiaTheme="majorEastAsia" w:hAnsiTheme="majorHAnsi" w:cstheme="majorBidi" w:ascii="Times New Roman" w:hAnsi="Times New Roman"/>
      <w:b/>
      <w:bCs/>
      <w:color w:val="1E293B"/>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