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1141C" w14:textId="6A483D49" w:rsidR="00F34D19" w:rsidRPr="00B52015" w:rsidRDefault="00F34D19" w:rsidP="00B52015">
      <w:pPr>
        <w:pStyle w:val="Title"/>
        <w:jc w:val="center"/>
        <w:rPr>
          <w:sz w:val="72"/>
          <w:szCs w:val="72"/>
        </w:rPr>
      </w:pPr>
      <w:r w:rsidRPr="00B52015">
        <w:rPr>
          <w:sz w:val="72"/>
          <w:szCs w:val="72"/>
        </w:rPr>
        <w:t xml:space="preserve">Climate Smart Digital </w:t>
      </w:r>
      <w:r w:rsidR="004676A7" w:rsidRPr="00B52015">
        <w:rPr>
          <w:sz w:val="72"/>
          <w:szCs w:val="72"/>
        </w:rPr>
        <w:t>Agriculture</w:t>
      </w:r>
    </w:p>
    <w:p w14:paraId="3E84C58D" w14:textId="23FADEF6" w:rsidR="004676A7" w:rsidRDefault="00F34D19" w:rsidP="00B52015">
      <w:pPr>
        <w:pStyle w:val="Title"/>
        <w:jc w:val="center"/>
      </w:pPr>
      <w:r>
        <w:t>For Ad</w:t>
      </w:r>
      <w:r w:rsidR="00B52015">
        <w:t>a</w:t>
      </w:r>
      <w:r>
        <w:t>p</w:t>
      </w:r>
      <w:r w:rsidR="00B52015">
        <w:t>tation</w:t>
      </w:r>
      <w:r>
        <w:t xml:space="preserve"> </w:t>
      </w:r>
      <w:r w:rsidR="004676A7">
        <w:t xml:space="preserve">in </w:t>
      </w:r>
      <w:r w:rsidR="00B52015" w:rsidRPr="00385F84">
        <w:rPr>
          <w:highlight w:val="yellow"/>
        </w:rPr>
        <w:t>Country</w:t>
      </w:r>
      <w:r w:rsidRPr="00385F84">
        <w:rPr>
          <w:highlight w:val="yellow"/>
        </w:rPr>
        <w:t>XYZ123</w:t>
      </w:r>
    </w:p>
    <w:p w14:paraId="47D4A711" w14:textId="77777777" w:rsidR="00B52015" w:rsidRDefault="00B52015" w:rsidP="004676A7">
      <w:pPr>
        <w:jc w:val="center"/>
        <w:rPr>
          <w:sz w:val="32"/>
          <w:szCs w:val="32"/>
        </w:rPr>
      </w:pPr>
    </w:p>
    <w:p w14:paraId="31CA6EDF" w14:textId="70640304" w:rsidR="004676A7" w:rsidRDefault="004676A7" w:rsidP="004676A7">
      <w:pPr>
        <w:jc w:val="center"/>
        <w:rPr>
          <w:sz w:val="32"/>
          <w:szCs w:val="32"/>
        </w:rPr>
      </w:pPr>
      <w:r w:rsidRPr="004676A7">
        <w:rPr>
          <w:sz w:val="32"/>
          <w:szCs w:val="32"/>
        </w:rPr>
        <w:t>Stakeholder Consultation Workshop</w:t>
      </w:r>
      <w:r>
        <w:rPr>
          <w:sz w:val="32"/>
          <w:szCs w:val="32"/>
        </w:rPr>
        <w:t xml:space="preserve"> – Group Activity #1</w:t>
      </w:r>
    </w:p>
    <w:p w14:paraId="1C404DFE" w14:textId="77777777" w:rsidR="004676A7" w:rsidRPr="004676A7" w:rsidRDefault="004676A7" w:rsidP="004676A7">
      <w:pPr>
        <w:jc w:val="center"/>
        <w:rPr>
          <w:sz w:val="32"/>
          <w:szCs w:val="32"/>
        </w:rPr>
      </w:pPr>
    </w:p>
    <w:p w14:paraId="79BD0074" w14:textId="6DE61511" w:rsidR="004676A7" w:rsidRDefault="00B52015" w:rsidP="004676A7">
      <w:pPr>
        <w:jc w:val="center"/>
      </w:pPr>
      <w:r w:rsidRPr="00AB1CE2">
        <w:rPr>
          <w:highlight w:val="yellow"/>
        </w:rPr>
        <w:t>Month Day</w:t>
      </w:r>
      <w:r w:rsidR="004676A7" w:rsidRPr="00AB1CE2">
        <w:rPr>
          <w:highlight w:val="yellow"/>
        </w:rPr>
        <w:t xml:space="preserve">, </w:t>
      </w:r>
      <w:r w:rsidRPr="00AB1CE2">
        <w:rPr>
          <w:highlight w:val="yellow"/>
        </w:rPr>
        <w:t>YEAR</w:t>
      </w:r>
    </w:p>
    <w:p w14:paraId="4234971B" w14:textId="1FD76D7F" w:rsidR="004676A7" w:rsidRDefault="004676A7" w:rsidP="004676A7"/>
    <w:p w14:paraId="269055BD" w14:textId="7EECC2F0" w:rsidR="004676A7" w:rsidRDefault="004676A7" w:rsidP="004676A7">
      <w:r w:rsidRPr="004676A7">
        <w:rPr>
          <w:b/>
          <w:bCs/>
        </w:rPr>
        <w:t>Activity:</w:t>
      </w:r>
      <w:r>
        <w:t xml:space="preserve"> Break into groups based on the six different digital adaptation “solution spaces” and evaluate the </w:t>
      </w:r>
      <w:r w:rsidR="00C8025C">
        <w:t xml:space="preserve">range of potential applications of digital adaptation for agriculture. </w:t>
      </w:r>
      <w:r>
        <w:t xml:space="preserve"> </w:t>
      </w:r>
      <w:r w:rsidR="00BC225A">
        <w:t>Please select a reporter from your group to present results</w:t>
      </w:r>
      <w:r w:rsidR="00C0680D">
        <w:t xml:space="preserve">. </w:t>
      </w:r>
      <w:r w:rsidR="00C8025C">
        <w:t>Each group will be asked to address the following questions:</w:t>
      </w:r>
    </w:p>
    <w:p w14:paraId="1840D7CE" w14:textId="0AA3BA21" w:rsidR="00C8025C" w:rsidRDefault="00C8025C" w:rsidP="004676A7"/>
    <w:p w14:paraId="5EB94A7C" w14:textId="48B367A3" w:rsidR="00C8025C" w:rsidRPr="00C8025C" w:rsidRDefault="006B3D99" w:rsidP="00C8025C">
      <w:pPr>
        <w:numPr>
          <w:ilvl w:val="0"/>
          <w:numId w:val="2"/>
        </w:numPr>
      </w:pPr>
      <w:r>
        <w:t>In general terms, d</w:t>
      </w:r>
      <w:r w:rsidR="00C8025C" w:rsidRPr="00C8025C">
        <w:t xml:space="preserve">oes </w:t>
      </w:r>
      <w:r>
        <w:t>cluster of solutions associated with your</w:t>
      </w:r>
      <w:r w:rsidR="00C8025C" w:rsidRPr="00C8025C">
        <w:t xml:space="preserve"> </w:t>
      </w:r>
      <w:r>
        <w:t>group</w:t>
      </w:r>
      <w:r w:rsidR="00C8025C" w:rsidRPr="00C8025C">
        <w:t xml:space="preserve"> make sense?</w:t>
      </w:r>
      <w:r w:rsidR="00C8025C">
        <w:br/>
      </w:r>
      <w:r w:rsidR="00C8025C">
        <w:br/>
      </w:r>
      <w:r>
        <w:t xml:space="preserve">Please consider that there is not perfect separation across groups (therefore we have provided each group with a copy of the entire list). </w:t>
      </w:r>
      <w:r w:rsidR="00C8025C">
        <w:br/>
      </w:r>
    </w:p>
    <w:p w14:paraId="056B5D67" w14:textId="7F39FDEF" w:rsidR="00C8025C" w:rsidRPr="00C8025C" w:rsidRDefault="00C8025C" w:rsidP="00C8025C">
      <w:pPr>
        <w:numPr>
          <w:ilvl w:val="0"/>
          <w:numId w:val="2"/>
        </w:numPr>
      </w:pPr>
      <w:r w:rsidRPr="00C8025C">
        <w:t>Are any major adaptation approaches missing</w:t>
      </w:r>
      <w:r w:rsidR="006B3D99">
        <w:t xml:space="preserve"> from the list of solutions in your group</w:t>
      </w:r>
      <w:r w:rsidRPr="00C8025C">
        <w:t>?</w:t>
      </w:r>
      <w:r w:rsidR="006B3D99">
        <w:br/>
      </w:r>
      <w:r w:rsidR="006B3D99">
        <w:br/>
        <w:t xml:space="preserve">While there are potentially many different variations on </w:t>
      </w:r>
      <w:r w:rsidR="000A6AE7">
        <w:t>the list of adaptation approaches that have been identified, please consider if there are any major omissions that should be considered as a core component of the solution space.</w:t>
      </w:r>
      <w:r w:rsidR="006B3D99">
        <w:br/>
      </w:r>
    </w:p>
    <w:p w14:paraId="4628319F" w14:textId="4EE222F9" w:rsidR="00C8025C" w:rsidRDefault="00C8025C" w:rsidP="000A6AE7">
      <w:pPr>
        <w:numPr>
          <w:ilvl w:val="0"/>
          <w:numId w:val="2"/>
        </w:numPr>
      </w:pPr>
      <w:r w:rsidRPr="00C8025C">
        <w:t xml:space="preserve">Are the digital </w:t>
      </w:r>
      <w:r w:rsidR="003159B2">
        <w:t>technologies</w:t>
      </w:r>
      <w:r w:rsidRPr="00C8025C">
        <w:t xml:space="preserve"> consistent with the potential adaptation approaches IN </w:t>
      </w:r>
      <w:r w:rsidR="00B52015" w:rsidRPr="005624E1">
        <w:rPr>
          <w:highlight w:val="yellow"/>
        </w:rPr>
        <w:t>CountryXYZ</w:t>
      </w:r>
      <w:r w:rsidR="005624E1" w:rsidRPr="005624E1">
        <w:rPr>
          <w:highlight w:val="yellow"/>
        </w:rPr>
        <w:t>123</w:t>
      </w:r>
      <w:r w:rsidRPr="00C8025C">
        <w:t>?</w:t>
      </w:r>
      <w:r w:rsidR="000A6AE7">
        <w:br/>
      </w:r>
      <w:r w:rsidR="000A6AE7">
        <w:br/>
        <w:t>For each of the identified adaptation approach</w:t>
      </w:r>
      <w:r w:rsidR="00C8723D">
        <w:t xml:space="preserve">es, there are one or more digital </w:t>
      </w:r>
      <w:r w:rsidR="00562E82">
        <w:t>technologies</w:t>
      </w:r>
      <w:r w:rsidR="00C8723D">
        <w:t xml:space="preserve"> indicated (e.g., IVR, apps, new databases, new analytics, etc.). For this exercise, please consider if the digital </w:t>
      </w:r>
      <w:r w:rsidR="00562E82">
        <w:t>technologies</w:t>
      </w:r>
      <w:r w:rsidR="00C8723D">
        <w:t xml:space="preserve"> matched to the adaptation approach are consistent with the current and near future “state of the art” for digital adaptation in Kenya.</w:t>
      </w:r>
    </w:p>
    <w:p w14:paraId="19F7252C" w14:textId="3959C826" w:rsidR="00C8723D" w:rsidRDefault="00C8723D" w:rsidP="00C8723D"/>
    <w:p w14:paraId="4460385D" w14:textId="77777777" w:rsidR="00C8723D" w:rsidRDefault="00C8723D" w:rsidP="00C8723D"/>
    <w:sectPr w:rsidR="00C87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D041E"/>
    <w:multiLevelType w:val="hybridMultilevel"/>
    <w:tmpl w:val="4C0E4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F62D8"/>
    <w:multiLevelType w:val="hybridMultilevel"/>
    <w:tmpl w:val="6816AEA0"/>
    <w:lvl w:ilvl="0" w:tplc="E0248264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C28BB9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2E43454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B38223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1C43C1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2659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C2C6DF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6E05CB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A76D07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2023048703">
    <w:abstractNumId w:val="1"/>
  </w:num>
  <w:num w:numId="2" w16cid:durableId="675577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A7"/>
    <w:rsid w:val="000A6AE7"/>
    <w:rsid w:val="002D085A"/>
    <w:rsid w:val="003159B2"/>
    <w:rsid w:val="00385F84"/>
    <w:rsid w:val="004676A7"/>
    <w:rsid w:val="005624E1"/>
    <w:rsid w:val="00562E82"/>
    <w:rsid w:val="006B3D99"/>
    <w:rsid w:val="007A676D"/>
    <w:rsid w:val="00885910"/>
    <w:rsid w:val="00AB1CE2"/>
    <w:rsid w:val="00B52015"/>
    <w:rsid w:val="00BC225A"/>
    <w:rsid w:val="00C0680D"/>
    <w:rsid w:val="00C8025C"/>
    <w:rsid w:val="00C8723D"/>
    <w:rsid w:val="00F3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98FDE"/>
  <w15:chartTrackingRefBased/>
  <w15:docId w15:val="{1043E3C2-983D-7640-BD68-842C075A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76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6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890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27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732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Prager</dc:creator>
  <cp:keywords/>
  <dc:description/>
  <cp:lastModifiedBy>Prager, Steven (Alliance Bioversity-CIAT)</cp:lastModifiedBy>
  <cp:revision>13</cp:revision>
  <dcterms:created xsi:type="dcterms:W3CDTF">2021-11-29T06:04:00Z</dcterms:created>
  <dcterms:modified xsi:type="dcterms:W3CDTF">2022-04-19T18:38:00Z</dcterms:modified>
</cp:coreProperties>
</file>