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4384D" w:rsidRDefault="00B237EF">
      <w:pPr>
        <w:jc w:val="center"/>
      </w:pPr>
      <w:bookmarkStart w:id="0" w:name="_gjdgxs" w:colFirst="0" w:colLast="0"/>
      <w:bookmarkEnd w:id="0"/>
      <w:r>
        <w:rPr>
          <w:b/>
          <w:sz w:val="32"/>
          <w:szCs w:val="32"/>
        </w:rPr>
        <w:t>Bio Informatics</w:t>
      </w:r>
    </w:p>
    <w:p w:rsidR="0034384D" w:rsidRDefault="00B237EF">
      <w:pPr>
        <w:jc w:val="center"/>
      </w:pPr>
      <w:r>
        <w:rPr>
          <w:b/>
          <w:sz w:val="32"/>
          <w:szCs w:val="32"/>
        </w:rPr>
        <w:t xml:space="preserve">Assignment 1 </w:t>
      </w:r>
    </w:p>
    <w:p w:rsidR="0034384D" w:rsidRDefault="00B237EF">
      <w:pPr>
        <w:ind w:firstLine="720"/>
      </w:pPr>
      <w:r>
        <w:rPr>
          <w:sz w:val="24"/>
          <w:szCs w:val="24"/>
        </w:rPr>
        <w:t>The first part of the assignment was to download the gene sequence</w:t>
      </w:r>
      <w:r>
        <w:rPr>
          <w:rFonts w:ascii="Rambla" w:eastAsia="Rambla" w:hAnsi="Rambla" w:cs="Rambla"/>
          <w:color w:val="333333"/>
          <w:sz w:val="21"/>
          <w:szCs w:val="21"/>
          <w:highlight w:val="white"/>
        </w:rPr>
        <w:t xml:space="preserve"> from the </w:t>
      </w:r>
      <w:r>
        <w:rPr>
          <w:rFonts w:ascii="Rambla" w:eastAsia="Rambla" w:hAnsi="Rambla" w:cs="Rambla"/>
          <w:i/>
          <w:color w:val="333333"/>
          <w:sz w:val="21"/>
          <w:szCs w:val="21"/>
          <w:highlight w:val="white"/>
        </w:rPr>
        <w:t xml:space="preserve">Bacteriophage Lambda </w:t>
      </w:r>
      <w:r>
        <w:rPr>
          <w:rFonts w:ascii="Rambla" w:eastAsia="Rambla" w:hAnsi="Rambla" w:cs="Rambla"/>
          <w:color w:val="333333"/>
          <w:sz w:val="21"/>
          <w:szCs w:val="21"/>
          <w:highlight w:val="white"/>
        </w:rPr>
        <w:t>(</w:t>
      </w:r>
      <w:proofErr w:type="gramStart"/>
      <w:r>
        <w:rPr>
          <w:rFonts w:ascii="Rambla" w:eastAsia="Rambla" w:hAnsi="Rambla" w:cs="Rambla"/>
          <w:color w:val="333333"/>
          <w:sz w:val="21"/>
          <w:szCs w:val="21"/>
          <w:highlight w:val="white"/>
        </w:rPr>
        <w:t>#  NC</w:t>
      </w:r>
      <w:proofErr w:type="gramEnd"/>
      <w:r>
        <w:rPr>
          <w:rFonts w:ascii="Rambla" w:eastAsia="Rambla" w:hAnsi="Rambla" w:cs="Rambla"/>
          <w:color w:val="333333"/>
          <w:sz w:val="21"/>
          <w:szCs w:val="21"/>
          <w:highlight w:val="white"/>
        </w:rPr>
        <w:t xml:space="preserve">_001416) from </w:t>
      </w:r>
      <w:proofErr w:type="spellStart"/>
      <w:r>
        <w:rPr>
          <w:rFonts w:ascii="Rambla" w:eastAsia="Rambla" w:hAnsi="Rambla" w:cs="Rambla"/>
          <w:color w:val="333333"/>
          <w:sz w:val="21"/>
          <w:szCs w:val="21"/>
          <w:highlight w:val="white"/>
        </w:rPr>
        <w:t>GenBank</w:t>
      </w:r>
      <w:proofErr w:type="spellEnd"/>
      <w:r>
        <w:rPr>
          <w:rFonts w:ascii="Rambla" w:eastAsia="Rambla" w:hAnsi="Rambla" w:cs="Rambla"/>
          <w:color w:val="333333"/>
          <w:sz w:val="21"/>
          <w:szCs w:val="21"/>
          <w:highlight w:val="white"/>
        </w:rPr>
        <w:t xml:space="preserve">, write a program to count the “GC” count with different window sizes, and plot a chart. The code to accomplish this task was written in Python and is located on Github on the following address:  </w:t>
      </w:r>
      <w:hyperlink r:id="rId6">
        <w:r>
          <w:rPr>
            <w:rFonts w:ascii="Rambla" w:eastAsia="Rambla" w:hAnsi="Rambla" w:cs="Rambla"/>
            <w:sz w:val="21"/>
            <w:szCs w:val="21"/>
            <w:highlight w:val="white"/>
            <w:u w:val="single"/>
          </w:rPr>
          <w:t>sequence.py</w:t>
        </w:r>
      </w:hyperlink>
      <w:hyperlink r:id="rId7"/>
    </w:p>
    <w:p w:rsidR="0034384D" w:rsidRDefault="00B237EF">
      <w:pPr>
        <w:ind w:firstLine="720"/>
      </w:pPr>
      <w:r>
        <w:rPr>
          <w:rFonts w:ascii="Rambla" w:eastAsia="Rambla" w:hAnsi="Rambla" w:cs="Rambla"/>
          <w:color w:val="333333"/>
          <w:sz w:val="21"/>
          <w:szCs w:val="21"/>
          <w:highlight w:val="white"/>
        </w:rPr>
        <w:t>On Figure 1, the chart analyses the Bacteriophage Lambda “GC” count</w:t>
      </w:r>
      <w:r w:rsidR="00EA0666">
        <w:rPr>
          <w:rFonts w:ascii="Rambla" w:eastAsia="Rambla" w:hAnsi="Rambla" w:cs="Rambla"/>
          <w:color w:val="333333"/>
          <w:sz w:val="21"/>
          <w:szCs w:val="21"/>
          <w:highlight w:val="white"/>
        </w:rPr>
        <w:t xml:space="preserve"> with window</w:t>
      </w:r>
      <w:r>
        <w:rPr>
          <w:rFonts w:ascii="Rambla" w:eastAsia="Rambla" w:hAnsi="Rambla" w:cs="Rambla"/>
          <w:color w:val="333333"/>
          <w:sz w:val="21"/>
          <w:szCs w:val="21"/>
          <w:highlight w:val="white"/>
        </w:rPr>
        <w:t xml:space="preserve"> si</w:t>
      </w:r>
      <w:r w:rsidR="00EA0666">
        <w:rPr>
          <w:rFonts w:ascii="Rambla" w:eastAsia="Rambla" w:hAnsi="Rambla" w:cs="Rambla"/>
          <w:color w:val="333333"/>
          <w:sz w:val="21"/>
          <w:szCs w:val="21"/>
          <w:highlight w:val="white"/>
        </w:rPr>
        <w:t xml:space="preserve">ze equal to 3. You can observe that the </w:t>
      </w:r>
      <w:r>
        <w:rPr>
          <w:rFonts w:ascii="Rambla" w:eastAsia="Rambla" w:hAnsi="Rambla" w:cs="Rambla"/>
          <w:color w:val="333333"/>
          <w:sz w:val="21"/>
          <w:szCs w:val="21"/>
          <w:highlight w:val="white"/>
        </w:rPr>
        <w:t xml:space="preserve">bigger the window more “GC” count it has. I only plot 8 intervals. By this graph, you can understand that the smaller the window more information you have about the “GC” variation along the gene.   </w:t>
      </w:r>
      <w:r>
        <w:rPr>
          <w:noProof/>
        </w:rPr>
        <w:drawing>
          <wp:inline distT="114300" distB="114300" distL="114300" distR="114300">
            <wp:extent cx="5943600" cy="3175000"/>
            <wp:effectExtent l="0" t="0" r="0" b="0"/>
            <wp:docPr id="2" name="image06.png" descr="Lambda.PNG"/>
            <wp:cNvGraphicFramePr/>
            <a:graphic xmlns:a="http://schemas.openxmlformats.org/drawingml/2006/main">
              <a:graphicData uri="http://schemas.openxmlformats.org/drawingml/2006/picture">
                <pic:pic xmlns:pic="http://schemas.openxmlformats.org/drawingml/2006/picture">
                  <pic:nvPicPr>
                    <pic:cNvPr id="0" name="image06.png" descr="Lambda.PNG"/>
                    <pic:cNvPicPr preferRelativeResize="0"/>
                  </pic:nvPicPr>
                  <pic:blipFill>
                    <a:blip r:embed="rId8"/>
                    <a:srcRect/>
                    <a:stretch>
                      <a:fillRect/>
                    </a:stretch>
                  </pic:blipFill>
                  <pic:spPr>
                    <a:xfrm>
                      <a:off x="0" y="0"/>
                      <a:ext cx="5943600" cy="3175000"/>
                    </a:xfrm>
                    <a:prstGeom prst="rect">
                      <a:avLst/>
                    </a:prstGeom>
                    <a:ln/>
                  </pic:spPr>
                </pic:pic>
              </a:graphicData>
            </a:graphic>
          </wp:inline>
        </w:drawing>
      </w:r>
    </w:p>
    <w:p w:rsidR="0034384D" w:rsidRDefault="00B237EF">
      <w:pPr>
        <w:spacing w:after="0" w:line="240" w:lineRule="auto"/>
        <w:jc w:val="center"/>
      </w:pPr>
      <w:r>
        <w:rPr>
          <w:i/>
          <w:sz w:val="20"/>
          <w:szCs w:val="20"/>
        </w:rPr>
        <w:t>Figu</w:t>
      </w:r>
      <w:r>
        <w:rPr>
          <w:i/>
          <w:sz w:val="20"/>
          <w:szCs w:val="20"/>
        </w:rPr>
        <w:t>re 1. Bacteriophage Lambda “GC” count chart</w:t>
      </w:r>
    </w:p>
    <w:p w:rsidR="0034384D" w:rsidRDefault="0034384D">
      <w:pPr>
        <w:spacing w:after="0" w:line="240" w:lineRule="auto"/>
        <w:jc w:val="center"/>
      </w:pPr>
    </w:p>
    <w:p w:rsidR="0034384D" w:rsidRDefault="0034384D">
      <w:pPr>
        <w:spacing w:after="0" w:line="240" w:lineRule="auto"/>
        <w:jc w:val="center"/>
      </w:pPr>
    </w:p>
    <w:p w:rsidR="0034384D" w:rsidRDefault="0034384D">
      <w:pPr>
        <w:spacing w:after="0" w:line="240" w:lineRule="auto"/>
        <w:jc w:val="center"/>
      </w:pPr>
    </w:p>
    <w:p w:rsidR="0034384D" w:rsidRDefault="0034384D">
      <w:pPr>
        <w:spacing w:after="0" w:line="240" w:lineRule="auto"/>
        <w:jc w:val="center"/>
      </w:pPr>
    </w:p>
    <w:p w:rsidR="0034384D" w:rsidRDefault="0034384D">
      <w:pPr>
        <w:spacing w:after="0" w:line="240" w:lineRule="auto"/>
        <w:jc w:val="center"/>
      </w:pPr>
    </w:p>
    <w:p w:rsidR="0034384D" w:rsidRDefault="00B237EF">
      <w:pPr>
        <w:ind w:firstLine="720"/>
        <w:jc w:val="both"/>
      </w:pPr>
      <w:r>
        <w:rPr>
          <w:sz w:val="24"/>
          <w:szCs w:val="24"/>
        </w:rPr>
        <w:t>The last chart, Figure 2</w:t>
      </w:r>
      <w:proofErr w:type="gramStart"/>
      <w:r>
        <w:rPr>
          <w:sz w:val="24"/>
          <w:szCs w:val="24"/>
        </w:rPr>
        <w:t>,3,4</w:t>
      </w:r>
      <w:proofErr w:type="gramEnd"/>
      <w:r>
        <w:rPr>
          <w:sz w:val="24"/>
          <w:szCs w:val="24"/>
        </w:rPr>
        <w:t xml:space="preserve">, show the relation between the “GC” count between the </w:t>
      </w:r>
      <w:proofErr w:type="spellStart"/>
      <w:r>
        <w:rPr>
          <w:sz w:val="24"/>
          <w:szCs w:val="24"/>
        </w:rPr>
        <w:t>Homosapiens</w:t>
      </w:r>
      <w:proofErr w:type="spellEnd"/>
      <w:r>
        <w:rPr>
          <w:sz w:val="24"/>
          <w:szCs w:val="24"/>
        </w:rPr>
        <w:t xml:space="preserve"> and </w:t>
      </w:r>
      <w:proofErr w:type="spellStart"/>
      <w:r>
        <w:rPr>
          <w:sz w:val="24"/>
          <w:szCs w:val="24"/>
        </w:rPr>
        <w:t>Pantroglodytes</w:t>
      </w:r>
      <w:proofErr w:type="spellEnd"/>
      <w:r>
        <w:rPr>
          <w:sz w:val="24"/>
          <w:szCs w:val="24"/>
        </w:rPr>
        <w:t xml:space="preserve"> mitochondria with different window sizes. The Figure 2 has a window of size 100. You can obse</w:t>
      </w:r>
      <w:r>
        <w:rPr>
          <w:sz w:val="24"/>
          <w:szCs w:val="24"/>
        </w:rPr>
        <w:t xml:space="preserve">rve that is very detail the differences between the two gene sequences. While Figure 3 and </w:t>
      </w:r>
      <w:proofErr w:type="gramStart"/>
      <w:r>
        <w:rPr>
          <w:sz w:val="24"/>
          <w:szCs w:val="24"/>
        </w:rPr>
        <w:t xml:space="preserve">4 </w:t>
      </w:r>
      <w:r w:rsidR="00EA0666">
        <w:rPr>
          <w:sz w:val="24"/>
          <w:szCs w:val="24"/>
        </w:rPr>
        <w:t>,</w:t>
      </w:r>
      <w:proofErr w:type="gramEnd"/>
      <w:r w:rsidR="00EA0666">
        <w:rPr>
          <w:sz w:val="24"/>
          <w:szCs w:val="24"/>
        </w:rPr>
        <w:t xml:space="preserve"> </w:t>
      </w:r>
      <w:proofErr w:type="spellStart"/>
      <w:r w:rsidR="00EA0666">
        <w:rPr>
          <w:sz w:val="24"/>
          <w:szCs w:val="24"/>
        </w:rPr>
        <w:t>g</w:t>
      </w:r>
      <w:r>
        <w:rPr>
          <w:sz w:val="24"/>
          <w:szCs w:val="24"/>
        </w:rPr>
        <w:t>the</w:t>
      </w:r>
      <w:proofErr w:type="spellEnd"/>
      <w:r>
        <w:rPr>
          <w:sz w:val="24"/>
          <w:szCs w:val="24"/>
        </w:rPr>
        <w:t xml:space="preserve"> distribution of the “GC” count look more alike between </w:t>
      </w:r>
      <w:r>
        <w:rPr>
          <w:sz w:val="24"/>
          <w:szCs w:val="24"/>
        </w:rPr>
        <w:lastRenderedPageBreak/>
        <w:t>the gene that belon</w:t>
      </w:r>
      <w:r w:rsidR="00EA0666">
        <w:rPr>
          <w:sz w:val="24"/>
          <w:szCs w:val="24"/>
        </w:rPr>
        <w:t>g</w:t>
      </w:r>
      <w:r>
        <w:rPr>
          <w:sz w:val="24"/>
          <w:szCs w:val="24"/>
        </w:rPr>
        <w:t xml:space="preserve">s to  the </w:t>
      </w:r>
      <w:proofErr w:type="spellStart"/>
      <w:r>
        <w:rPr>
          <w:sz w:val="24"/>
          <w:szCs w:val="24"/>
        </w:rPr>
        <w:t>Homosapiens</w:t>
      </w:r>
      <w:proofErr w:type="spellEnd"/>
      <w:r>
        <w:rPr>
          <w:sz w:val="24"/>
          <w:szCs w:val="24"/>
        </w:rPr>
        <w:t xml:space="preserve"> and the one that belongs to the </w:t>
      </w:r>
      <w:proofErr w:type="spellStart"/>
      <w:r>
        <w:rPr>
          <w:sz w:val="24"/>
          <w:szCs w:val="24"/>
        </w:rPr>
        <w:t>Pantroglodytes</w:t>
      </w:r>
      <w:proofErr w:type="spellEnd"/>
      <w:r>
        <w:rPr>
          <w:sz w:val="24"/>
          <w:szCs w:val="24"/>
        </w:rPr>
        <w:t>. The source code</w:t>
      </w:r>
      <w:r>
        <w:rPr>
          <w:sz w:val="24"/>
          <w:szCs w:val="24"/>
        </w:rPr>
        <w:t xml:space="preserve"> for the Figure 2</w:t>
      </w:r>
      <w:proofErr w:type="gramStart"/>
      <w:r>
        <w:rPr>
          <w:sz w:val="24"/>
          <w:szCs w:val="24"/>
        </w:rPr>
        <w:t>,3,4</w:t>
      </w:r>
      <w:proofErr w:type="gramEnd"/>
      <w:r>
        <w:rPr>
          <w:sz w:val="24"/>
          <w:szCs w:val="24"/>
        </w:rPr>
        <w:t xml:space="preserve"> chart is located at:  </w:t>
      </w:r>
      <w:hyperlink r:id="rId9">
        <w:r>
          <w:rPr>
            <w:color w:val="0000FF"/>
            <w:sz w:val="24"/>
            <w:szCs w:val="24"/>
            <w:u w:val="single"/>
          </w:rPr>
          <w:t>mitocondria.py</w:t>
        </w:r>
      </w:hyperlink>
      <w:hyperlink r:id="rId10"/>
    </w:p>
    <w:p w:rsidR="0034384D" w:rsidRDefault="00B237EF">
      <w:r>
        <w:rPr>
          <w:noProof/>
        </w:rPr>
        <w:drawing>
          <wp:inline distT="114300" distB="114300" distL="114300" distR="114300">
            <wp:extent cx="5943600" cy="3187700"/>
            <wp:effectExtent l="0" t="0" r="0" b="0"/>
            <wp:docPr id="3" name="image07.png" descr="homoWindows100.PNG"/>
            <wp:cNvGraphicFramePr/>
            <a:graphic xmlns:a="http://schemas.openxmlformats.org/drawingml/2006/main">
              <a:graphicData uri="http://schemas.openxmlformats.org/drawingml/2006/picture">
                <pic:pic xmlns:pic="http://schemas.openxmlformats.org/drawingml/2006/picture">
                  <pic:nvPicPr>
                    <pic:cNvPr id="0" name="image07.png" descr="homoWindows100.PNG"/>
                    <pic:cNvPicPr preferRelativeResize="0"/>
                  </pic:nvPicPr>
                  <pic:blipFill>
                    <a:blip r:embed="rId11"/>
                    <a:srcRect/>
                    <a:stretch>
                      <a:fillRect/>
                    </a:stretch>
                  </pic:blipFill>
                  <pic:spPr>
                    <a:xfrm>
                      <a:off x="0" y="0"/>
                      <a:ext cx="5943600" cy="3187700"/>
                    </a:xfrm>
                    <a:prstGeom prst="rect">
                      <a:avLst/>
                    </a:prstGeom>
                    <a:ln/>
                  </pic:spPr>
                </pic:pic>
              </a:graphicData>
            </a:graphic>
          </wp:inline>
        </w:drawing>
      </w:r>
      <w:hyperlink r:id="rId12"/>
    </w:p>
    <w:p w:rsidR="0034384D" w:rsidRDefault="00B237EF">
      <w:pPr>
        <w:spacing w:after="0" w:line="240" w:lineRule="auto"/>
        <w:jc w:val="center"/>
      </w:pPr>
      <w:hyperlink r:id="rId13"/>
    </w:p>
    <w:p w:rsidR="0034384D" w:rsidRDefault="00B237EF">
      <w:pPr>
        <w:spacing w:after="0" w:line="240" w:lineRule="auto"/>
        <w:jc w:val="center"/>
      </w:pPr>
      <w:r>
        <w:rPr>
          <w:i/>
          <w:sz w:val="20"/>
          <w:szCs w:val="20"/>
        </w:rPr>
        <w:t xml:space="preserve">Figure 2. Mitochondria “GC” count Window Size 100 </w:t>
      </w:r>
    </w:p>
    <w:p w:rsidR="0034384D" w:rsidRDefault="0034384D">
      <w:pPr>
        <w:spacing w:after="0" w:line="240" w:lineRule="auto"/>
        <w:jc w:val="center"/>
      </w:pPr>
    </w:p>
    <w:p w:rsidR="0034384D" w:rsidRDefault="00B237EF" w:rsidP="00EA0666">
      <w:pPr>
        <w:spacing w:after="0" w:line="240" w:lineRule="auto"/>
        <w:ind w:firstLine="720"/>
        <w:jc w:val="both"/>
      </w:pPr>
      <w:r>
        <w:rPr>
          <w:sz w:val="24"/>
          <w:szCs w:val="24"/>
        </w:rPr>
        <w:t xml:space="preserve">There are more similarities between the “GC” count of </w:t>
      </w:r>
      <w:proofErr w:type="spellStart"/>
      <w:r>
        <w:rPr>
          <w:sz w:val="24"/>
          <w:szCs w:val="24"/>
        </w:rPr>
        <w:t>Homosapiens</w:t>
      </w:r>
      <w:proofErr w:type="spellEnd"/>
      <w:r>
        <w:rPr>
          <w:sz w:val="24"/>
          <w:szCs w:val="24"/>
        </w:rPr>
        <w:t xml:space="preserve"> and </w:t>
      </w:r>
      <w:proofErr w:type="spellStart"/>
      <w:r>
        <w:rPr>
          <w:sz w:val="24"/>
          <w:szCs w:val="24"/>
        </w:rPr>
        <w:t>Pantroglodytes</w:t>
      </w:r>
      <w:proofErr w:type="spellEnd"/>
      <w:r>
        <w:rPr>
          <w:sz w:val="24"/>
          <w:szCs w:val="24"/>
        </w:rPr>
        <w:t xml:space="preserve"> when the window size is bigger. It is important to notice that since the </w:t>
      </w:r>
      <w:r>
        <w:rPr>
          <w:sz w:val="24"/>
          <w:szCs w:val="24"/>
        </w:rPr>
        <w:t>window size is bigger is covering a larger piece of the gene sequence.</w:t>
      </w:r>
      <w:r w:rsidR="00EA0666">
        <w:rPr>
          <w:sz w:val="24"/>
          <w:szCs w:val="24"/>
        </w:rPr>
        <w:t xml:space="preserve"> </w:t>
      </w:r>
      <w:r w:rsidR="00EA0666">
        <w:rPr>
          <w:sz w:val="24"/>
          <w:szCs w:val="24"/>
        </w:rPr>
        <w:t>The first graph</w:t>
      </w:r>
      <w:r w:rsidR="00EA0666">
        <w:rPr>
          <w:sz w:val="24"/>
          <w:szCs w:val="24"/>
        </w:rPr>
        <w:t>, Figure 2,</w:t>
      </w:r>
      <w:r w:rsidR="00EA0666">
        <w:rPr>
          <w:sz w:val="24"/>
          <w:szCs w:val="24"/>
        </w:rPr>
        <w:t xml:space="preserve"> is covering from position 1 until 800, which means it is covering only the first 5% of the gene.</w:t>
      </w:r>
      <w:r w:rsidR="00EA0666">
        <w:rPr>
          <w:sz w:val="24"/>
          <w:szCs w:val="24"/>
        </w:rPr>
        <w:t xml:space="preserve"> The following</w:t>
      </w:r>
      <w:r w:rsidR="00EA0666">
        <w:rPr>
          <w:sz w:val="24"/>
          <w:szCs w:val="24"/>
        </w:rPr>
        <w:t xml:space="preserve"> graph</w:t>
      </w:r>
      <w:r w:rsidR="00EA0666">
        <w:rPr>
          <w:sz w:val="24"/>
          <w:szCs w:val="24"/>
        </w:rPr>
        <w:t>, Figure 3,</w:t>
      </w:r>
      <w:r w:rsidR="00EA0666">
        <w:rPr>
          <w:sz w:val="24"/>
          <w:szCs w:val="24"/>
        </w:rPr>
        <w:t xml:space="preserve"> is representing the gene sequence from position 1 until position 4800. Since the gene sequence has size approximately 16000, this graph is only covering the first 30% of the gene. The last graph, Figure 4, is covering the f</w:t>
      </w:r>
      <w:r w:rsidR="00EA0666">
        <w:rPr>
          <w:sz w:val="24"/>
          <w:szCs w:val="24"/>
        </w:rPr>
        <w:t xml:space="preserve">irst 60% of the gene sequence. </w:t>
      </w:r>
    </w:p>
    <w:p w:rsidR="0034384D" w:rsidRDefault="0034384D">
      <w:pPr>
        <w:spacing w:after="0" w:line="240" w:lineRule="auto"/>
        <w:jc w:val="center"/>
      </w:pPr>
    </w:p>
    <w:p w:rsidR="0034384D" w:rsidRDefault="0034384D">
      <w:pPr>
        <w:spacing w:after="0" w:line="240" w:lineRule="auto"/>
        <w:jc w:val="center"/>
      </w:pPr>
    </w:p>
    <w:p w:rsidR="0034384D" w:rsidRDefault="0034384D">
      <w:pPr>
        <w:spacing w:after="0" w:line="240" w:lineRule="auto"/>
        <w:jc w:val="center"/>
      </w:pPr>
      <w:bookmarkStart w:id="1" w:name="_GoBack"/>
      <w:bookmarkEnd w:id="1"/>
    </w:p>
    <w:p w:rsidR="0034384D" w:rsidRDefault="00B237EF">
      <w:pPr>
        <w:spacing w:after="0" w:line="240" w:lineRule="auto"/>
        <w:jc w:val="center"/>
      </w:pPr>
      <w:r>
        <w:rPr>
          <w:noProof/>
        </w:rPr>
        <w:lastRenderedPageBreak/>
        <w:drawing>
          <wp:inline distT="114300" distB="114300" distL="114300" distR="114300">
            <wp:extent cx="5943600" cy="3200400"/>
            <wp:effectExtent l="0" t="0" r="0" b="0"/>
            <wp:docPr id="5" name="image09.png" descr="homo600.PNG"/>
            <wp:cNvGraphicFramePr/>
            <a:graphic xmlns:a="http://schemas.openxmlformats.org/drawingml/2006/main">
              <a:graphicData uri="http://schemas.openxmlformats.org/drawingml/2006/picture">
                <pic:pic xmlns:pic="http://schemas.openxmlformats.org/drawingml/2006/picture">
                  <pic:nvPicPr>
                    <pic:cNvPr id="0" name="image09.png" descr="homo600.PNG"/>
                    <pic:cNvPicPr preferRelativeResize="0"/>
                  </pic:nvPicPr>
                  <pic:blipFill>
                    <a:blip r:embed="rId14"/>
                    <a:srcRect/>
                    <a:stretch>
                      <a:fillRect/>
                    </a:stretch>
                  </pic:blipFill>
                  <pic:spPr>
                    <a:xfrm>
                      <a:off x="0" y="0"/>
                      <a:ext cx="5943600" cy="3200400"/>
                    </a:xfrm>
                    <a:prstGeom prst="rect">
                      <a:avLst/>
                    </a:prstGeom>
                    <a:ln/>
                  </pic:spPr>
                </pic:pic>
              </a:graphicData>
            </a:graphic>
          </wp:inline>
        </w:drawing>
      </w:r>
    </w:p>
    <w:p w:rsidR="0034384D" w:rsidRDefault="00B237EF">
      <w:pPr>
        <w:spacing w:after="0" w:line="240" w:lineRule="auto"/>
        <w:jc w:val="center"/>
      </w:pPr>
      <w:r>
        <w:rPr>
          <w:i/>
          <w:sz w:val="20"/>
          <w:szCs w:val="20"/>
        </w:rPr>
        <w:t xml:space="preserve">Figure 3. Mitochondria “GC” count Window Size 600 </w:t>
      </w:r>
    </w:p>
    <w:p w:rsidR="0034384D" w:rsidRDefault="0034384D">
      <w:pPr>
        <w:spacing w:after="0" w:line="240" w:lineRule="auto"/>
        <w:jc w:val="center"/>
      </w:pPr>
    </w:p>
    <w:p w:rsidR="0034384D" w:rsidRDefault="0034384D">
      <w:pPr>
        <w:spacing w:after="0" w:line="240" w:lineRule="auto"/>
        <w:jc w:val="center"/>
      </w:pPr>
    </w:p>
    <w:p w:rsidR="0034384D" w:rsidRDefault="0034384D">
      <w:pPr>
        <w:spacing w:after="0" w:line="240" w:lineRule="auto"/>
        <w:jc w:val="center"/>
      </w:pPr>
    </w:p>
    <w:p w:rsidR="0034384D" w:rsidRDefault="00B237EF">
      <w:pPr>
        <w:spacing w:after="0" w:line="240" w:lineRule="auto"/>
        <w:jc w:val="center"/>
      </w:pPr>
      <w:r>
        <w:rPr>
          <w:noProof/>
        </w:rPr>
        <w:drawing>
          <wp:inline distT="114300" distB="114300" distL="114300" distR="114300">
            <wp:extent cx="5943600" cy="3238500"/>
            <wp:effectExtent l="0" t="0" r="0" b="0"/>
            <wp:docPr id="1" name="image05.png" descr="homo1200.PNG"/>
            <wp:cNvGraphicFramePr/>
            <a:graphic xmlns:a="http://schemas.openxmlformats.org/drawingml/2006/main">
              <a:graphicData uri="http://schemas.openxmlformats.org/drawingml/2006/picture">
                <pic:pic xmlns:pic="http://schemas.openxmlformats.org/drawingml/2006/picture">
                  <pic:nvPicPr>
                    <pic:cNvPr id="0" name="image05.png" descr="homo1200.PNG"/>
                    <pic:cNvPicPr preferRelativeResize="0"/>
                  </pic:nvPicPr>
                  <pic:blipFill>
                    <a:blip r:embed="rId15"/>
                    <a:srcRect/>
                    <a:stretch>
                      <a:fillRect/>
                    </a:stretch>
                  </pic:blipFill>
                  <pic:spPr>
                    <a:xfrm>
                      <a:off x="0" y="0"/>
                      <a:ext cx="5943600" cy="3238500"/>
                    </a:xfrm>
                    <a:prstGeom prst="rect">
                      <a:avLst/>
                    </a:prstGeom>
                    <a:ln/>
                  </pic:spPr>
                </pic:pic>
              </a:graphicData>
            </a:graphic>
          </wp:inline>
        </w:drawing>
      </w:r>
    </w:p>
    <w:p w:rsidR="0034384D" w:rsidRDefault="00B237EF">
      <w:pPr>
        <w:spacing w:after="0" w:line="240" w:lineRule="auto"/>
        <w:jc w:val="center"/>
      </w:pPr>
      <w:r>
        <w:rPr>
          <w:i/>
          <w:sz w:val="20"/>
          <w:szCs w:val="20"/>
        </w:rPr>
        <w:t>Figure 3. Mitochondria “GC” count Window Size 1200</w:t>
      </w:r>
    </w:p>
    <w:p w:rsidR="0034384D" w:rsidRDefault="0034384D">
      <w:pPr>
        <w:spacing w:after="0" w:line="240" w:lineRule="auto"/>
        <w:jc w:val="center"/>
      </w:pPr>
    </w:p>
    <w:p w:rsidR="0034384D" w:rsidRDefault="0034384D">
      <w:pPr>
        <w:spacing w:after="0" w:line="240" w:lineRule="auto"/>
        <w:jc w:val="center"/>
      </w:pPr>
    </w:p>
    <w:p w:rsidR="0034384D" w:rsidRDefault="0034384D">
      <w:pPr>
        <w:spacing w:after="0" w:line="240" w:lineRule="auto"/>
        <w:jc w:val="center"/>
      </w:pPr>
    </w:p>
    <w:p w:rsidR="0034384D" w:rsidRDefault="00B237EF">
      <w:pPr>
        <w:spacing w:after="0" w:line="240" w:lineRule="auto"/>
        <w:ind w:firstLine="720"/>
        <w:jc w:val="both"/>
      </w:pPr>
      <w:r>
        <w:rPr>
          <w:sz w:val="24"/>
          <w:szCs w:val="24"/>
        </w:rPr>
        <w:lastRenderedPageBreak/>
        <w:t xml:space="preserve">The task for the following charts was to analyze the gene sequence of the Mitochondria of two different species. The first specie is </w:t>
      </w:r>
      <w:proofErr w:type="spellStart"/>
      <w:r>
        <w:rPr>
          <w:sz w:val="24"/>
          <w:szCs w:val="24"/>
        </w:rPr>
        <w:t>Homosapiens</w:t>
      </w:r>
      <w:proofErr w:type="spellEnd"/>
      <w:r>
        <w:rPr>
          <w:sz w:val="24"/>
          <w:szCs w:val="24"/>
        </w:rPr>
        <w:t xml:space="preserve"> Sapiens, the second species is </w:t>
      </w:r>
      <w:proofErr w:type="spellStart"/>
      <w:r>
        <w:rPr>
          <w:sz w:val="24"/>
          <w:szCs w:val="24"/>
        </w:rPr>
        <w:t>Pantroglodytes</w:t>
      </w:r>
      <w:proofErr w:type="spellEnd"/>
      <w:r>
        <w:rPr>
          <w:sz w:val="24"/>
          <w:szCs w:val="24"/>
        </w:rPr>
        <w:t xml:space="preserve">. </w:t>
      </w:r>
    </w:p>
    <w:p w:rsidR="0034384D" w:rsidRDefault="0034384D">
      <w:pPr>
        <w:spacing w:after="0" w:line="240" w:lineRule="auto"/>
        <w:ind w:firstLine="720"/>
        <w:jc w:val="both"/>
      </w:pPr>
    </w:p>
    <w:p w:rsidR="0034384D" w:rsidRDefault="00B237EF">
      <w:pPr>
        <w:spacing w:after="0" w:line="240" w:lineRule="auto"/>
        <w:ind w:firstLine="720"/>
        <w:jc w:val="both"/>
      </w:pPr>
      <w:r>
        <w:rPr>
          <w:sz w:val="24"/>
          <w:szCs w:val="24"/>
        </w:rPr>
        <w:t>Figure 3</w:t>
      </w:r>
      <w:r>
        <w:rPr>
          <w:sz w:val="24"/>
          <w:szCs w:val="24"/>
        </w:rPr>
        <w:t xml:space="preserve"> shows the percentage of the nucleotides A</w:t>
      </w:r>
      <w:proofErr w:type="gramStart"/>
      <w:r>
        <w:rPr>
          <w:sz w:val="24"/>
          <w:szCs w:val="24"/>
        </w:rPr>
        <w:t>,T,C</w:t>
      </w:r>
      <w:proofErr w:type="gramEnd"/>
      <w:r>
        <w:rPr>
          <w:sz w:val="24"/>
          <w:szCs w:val="24"/>
        </w:rPr>
        <w:t xml:space="preserve">, and G of both species. It is possible to observe that both genes have almost an identical percentage of those nucleotides on the mitochondria gene sequence. Meaning that the mitochondria that belongs to the </w:t>
      </w:r>
      <w:proofErr w:type="spellStart"/>
      <w:r>
        <w:rPr>
          <w:sz w:val="24"/>
          <w:szCs w:val="24"/>
        </w:rPr>
        <w:t>H</w:t>
      </w:r>
      <w:r>
        <w:rPr>
          <w:sz w:val="24"/>
          <w:szCs w:val="24"/>
        </w:rPr>
        <w:t>omosapiens</w:t>
      </w:r>
      <w:proofErr w:type="spellEnd"/>
      <w:r>
        <w:rPr>
          <w:sz w:val="24"/>
          <w:szCs w:val="24"/>
        </w:rPr>
        <w:t xml:space="preserve"> and </w:t>
      </w:r>
      <w:proofErr w:type="spellStart"/>
      <w:r>
        <w:rPr>
          <w:sz w:val="24"/>
          <w:szCs w:val="24"/>
        </w:rPr>
        <w:t>Pantroglodytes</w:t>
      </w:r>
      <w:proofErr w:type="spellEnd"/>
      <w:r>
        <w:rPr>
          <w:sz w:val="24"/>
          <w:szCs w:val="24"/>
        </w:rPr>
        <w:t xml:space="preserve"> function alike. </w:t>
      </w:r>
    </w:p>
    <w:p w:rsidR="0034384D" w:rsidRDefault="0034384D">
      <w:pPr>
        <w:spacing w:after="0" w:line="240" w:lineRule="auto"/>
        <w:ind w:firstLine="720"/>
        <w:jc w:val="both"/>
      </w:pPr>
    </w:p>
    <w:p w:rsidR="0034384D" w:rsidRDefault="00B237EF">
      <w:pPr>
        <w:spacing w:after="0" w:line="240" w:lineRule="auto"/>
        <w:ind w:firstLine="720"/>
        <w:jc w:val="both"/>
      </w:pPr>
      <w:r>
        <w:rPr>
          <w:sz w:val="24"/>
          <w:szCs w:val="24"/>
        </w:rPr>
        <w:t xml:space="preserve">The source code for Figure 3 is located at:  </w:t>
      </w:r>
      <w:hyperlink r:id="rId16">
        <w:r>
          <w:rPr>
            <w:color w:val="0000FF"/>
            <w:sz w:val="24"/>
            <w:szCs w:val="24"/>
            <w:u w:val="single"/>
          </w:rPr>
          <w:t>ACGTprobability.py</w:t>
        </w:r>
      </w:hyperlink>
      <w:hyperlink r:id="rId17"/>
    </w:p>
    <w:p w:rsidR="0034384D" w:rsidRDefault="00B237EF">
      <w:pPr>
        <w:spacing w:after="0" w:line="240" w:lineRule="auto"/>
        <w:ind w:firstLine="720"/>
        <w:jc w:val="both"/>
      </w:pPr>
      <w:hyperlink r:id="rId18"/>
    </w:p>
    <w:p w:rsidR="0034384D" w:rsidRDefault="00B237EF">
      <w:pPr>
        <w:spacing w:after="0" w:line="240" w:lineRule="auto"/>
        <w:ind w:firstLine="720"/>
        <w:jc w:val="both"/>
      </w:pPr>
      <w:hyperlink r:id="rId19"/>
    </w:p>
    <w:p w:rsidR="0034384D" w:rsidRDefault="00B237EF">
      <w:pPr>
        <w:spacing w:after="0" w:line="240" w:lineRule="auto"/>
      </w:pPr>
      <w:r>
        <w:rPr>
          <w:noProof/>
        </w:rPr>
        <w:drawing>
          <wp:inline distT="0" distB="0" distL="0" distR="0">
            <wp:extent cx="5943600" cy="277114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0"/>
                    <a:srcRect/>
                    <a:stretch>
                      <a:fillRect/>
                    </a:stretch>
                  </pic:blipFill>
                  <pic:spPr>
                    <a:xfrm>
                      <a:off x="0" y="0"/>
                      <a:ext cx="5943600" cy="2771140"/>
                    </a:xfrm>
                    <a:prstGeom prst="rect">
                      <a:avLst/>
                    </a:prstGeom>
                    <a:ln/>
                  </pic:spPr>
                </pic:pic>
              </a:graphicData>
            </a:graphic>
          </wp:inline>
        </w:drawing>
      </w:r>
      <w:hyperlink r:id="rId21"/>
    </w:p>
    <w:p w:rsidR="0034384D" w:rsidRDefault="00B237EF">
      <w:pPr>
        <w:spacing w:after="0" w:line="240" w:lineRule="auto"/>
        <w:jc w:val="center"/>
      </w:pPr>
      <w:r>
        <w:rPr>
          <w:i/>
          <w:sz w:val="20"/>
          <w:szCs w:val="20"/>
        </w:rPr>
        <w:t>Figure 3. A</w:t>
      </w:r>
      <w:proofErr w:type="gramStart"/>
      <w:r>
        <w:rPr>
          <w:i/>
          <w:sz w:val="20"/>
          <w:szCs w:val="20"/>
        </w:rPr>
        <w:t>,T,C,G</w:t>
      </w:r>
      <w:proofErr w:type="gramEnd"/>
      <w:r>
        <w:rPr>
          <w:i/>
          <w:sz w:val="20"/>
          <w:szCs w:val="20"/>
        </w:rPr>
        <w:t xml:space="preserve"> Nucleotides Percentage</w:t>
      </w:r>
    </w:p>
    <w:p w:rsidR="0034384D" w:rsidRDefault="00B237EF">
      <w:pPr>
        <w:spacing w:after="0" w:line="240" w:lineRule="auto"/>
        <w:jc w:val="center"/>
      </w:pPr>
      <w:r>
        <w:rPr>
          <w:i/>
          <w:sz w:val="20"/>
          <w:szCs w:val="20"/>
        </w:rPr>
        <w:t xml:space="preserve"> </w:t>
      </w:r>
    </w:p>
    <w:p w:rsidR="0034384D" w:rsidRDefault="0034384D">
      <w:pPr>
        <w:ind w:firstLine="720"/>
        <w:jc w:val="both"/>
      </w:pPr>
    </w:p>
    <w:p w:rsidR="0034384D" w:rsidRDefault="0034384D">
      <w:pPr>
        <w:ind w:firstLine="720"/>
        <w:jc w:val="both"/>
      </w:pPr>
    </w:p>
    <w:p w:rsidR="0034384D" w:rsidRDefault="0034384D">
      <w:pPr>
        <w:ind w:firstLine="720"/>
        <w:jc w:val="both"/>
      </w:pPr>
    </w:p>
    <w:p w:rsidR="0034384D" w:rsidRDefault="0034384D">
      <w:pPr>
        <w:ind w:firstLine="720"/>
        <w:jc w:val="both"/>
      </w:pPr>
    </w:p>
    <w:p w:rsidR="0034384D" w:rsidRDefault="0034384D">
      <w:pPr>
        <w:ind w:firstLine="720"/>
        <w:jc w:val="both"/>
      </w:pPr>
    </w:p>
    <w:p w:rsidR="0034384D" w:rsidRDefault="0034384D">
      <w:pPr>
        <w:ind w:firstLine="720"/>
        <w:jc w:val="both"/>
      </w:pPr>
    </w:p>
    <w:p w:rsidR="0034384D" w:rsidRDefault="0034384D">
      <w:pPr>
        <w:ind w:firstLine="720"/>
        <w:jc w:val="both"/>
      </w:pPr>
    </w:p>
    <w:p w:rsidR="0034384D" w:rsidRDefault="0034384D">
      <w:pPr>
        <w:spacing w:after="0" w:line="240" w:lineRule="auto"/>
        <w:jc w:val="center"/>
      </w:pPr>
    </w:p>
    <w:sectPr w:rsidR="0034384D">
      <w:head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7EF" w:rsidRDefault="00B237EF">
      <w:pPr>
        <w:spacing w:after="0" w:line="240" w:lineRule="auto"/>
      </w:pPr>
      <w:r>
        <w:separator/>
      </w:r>
    </w:p>
  </w:endnote>
  <w:endnote w:type="continuationSeparator" w:id="0">
    <w:p w:rsidR="00B237EF" w:rsidRDefault="00B23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Rambla">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7EF" w:rsidRDefault="00B237EF">
      <w:pPr>
        <w:spacing w:after="0" w:line="240" w:lineRule="auto"/>
      </w:pPr>
      <w:r>
        <w:separator/>
      </w:r>
    </w:p>
  </w:footnote>
  <w:footnote w:type="continuationSeparator" w:id="0">
    <w:p w:rsidR="00B237EF" w:rsidRDefault="00B237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84D" w:rsidRDefault="00B237EF">
    <w:pPr>
      <w:tabs>
        <w:tab w:val="center" w:pos="4680"/>
        <w:tab w:val="right" w:pos="9360"/>
      </w:tabs>
      <w:spacing w:before="720" w:after="0" w:line="240" w:lineRule="auto"/>
      <w:jc w:val="right"/>
    </w:pPr>
    <w:r>
      <w:t>Anna Paula Pawlicka Maule, 4624650</w:t>
    </w:r>
  </w:p>
  <w:p w:rsidR="0034384D" w:rsidRDefault="00B237EF">
    <w:pPr>
      <w:tabs>
        <w:tab w:val="center" w:pos="4680"/>
        <w:tab w:val="right" w:pos="9360"/>
      </w:tabs>
      <w:spacing w:after="0" w:line="240" w:lineRule="auto"/>
      <w:jc w:val="right"/>
    </w:pPr>
    <w:r>
      <w:t>September 5</w:t>
    </w:r>
    <w:r>
      <w:rPr>
        <w:vertAlign w:val="superscript"/>
      </w:rPr>
      <w:t>th</w:t>
    </w:r>
    <w:r>
      <w:t>,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4384D"/>
    <w:rsid w:val="0034384D"/>
    <w:rsid w:val="00B237EF"/>
    <w:rsid w:val="00EA0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402D62-1582-4AE7-A152-80E9FE24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line="240" w:lineRule="auto"/>
    </w:pPr>
    <w:rPr>
      <w:rFonts w:ascii="Cambria" w:eastAsia="Cambria" w:hAnsi="Cambria" w:cs="Cambria"/>
      <w:sz w:val="52"/>
      <w:szCs w:val="52"/>
    </w:rPr>
  </w:style>
  <w:style w:type="paragraph" w:styleId="Subtitle">
    <w:name w:val="Subtitle"/>
    <w:basedOn w:val="Normal"/>
    <w:next w:val="Normal"/>
    <w:pPr>
      <w:keepNext/>
      <w:keepLines/>
    </w:pPr>
    <w:rPr>
      <w:rFonts w:ascii="Cambria" w:eastAsia="Cambria" w:hAnsi="Cambria" w:cs="Cambria"/>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ICMC/Computation-Biology/blob/master/modulo1/MitocondriaHomemChimpanze/mitocondria.py" TargetMode="External"/><Relationship Id="rId18" Type="http://schemas.openxmlformats.org/officeDocument/2006/relationships/hyperlink" Target="https://github.com/ICMC/Computation-Biology/blob/master/modulo1/MitocondriaHomemChimpanze/ACGTprobability.py" TargetMode="External"/><Relationship Id="rId3" Type="http://schemas.openxmlformats.org/officeDocument/2006/relationships/webSettings" Target="webSettings.xml"/><Relationship Id="rId21" Type="http://schemas.openxmlformats.org/officeDocument/2006/relationships/hyperlink" Target="https://github.com/ICMC/Computation-Biology/blob/master/modulo1/MitocondriaHomemChimpanze/ACGTprobability.py" TargetMode="External"/><Relationship Id="rId7" Type="http://schemas.openxmlformats.org/officeDocument/2006/relationships/hyperlink" Target="https://github.com/ICMC/Computation-Biology/blob/master/modulo1/NC_001416/sequence.py" TargetMode="External"/><Relationship Id="rId12" Type="http://schemas.openxmlformats.org/officeDocument/2006/relationships/hyperlink" Target="https://github.com/ICMC/Computation-Biology/blob/master/modulo1/MitocondriaHomemChimpanze/mitocondria.py" TargetMode="External"/><Relationship Id="rId17" Type="http://schemas.openxmlformats.org/officeDocument/2006/relationships/hyperlink" Target="https://github.com/ICMC/Computation-Biology/blob/master/modulo1/MitocondriaHomemChimpanze/ACGTprobability.py" TargetMode="External"/><Relationship Id="rId2" Type="http://schemas.openxmlformats.org/officeDocument/2006/relationships/settings" Target="settings.xml"/><Relationship Id="rId16" Type="http://schemas.openxmlformats.org/officeDocument/2006/relationships/hyperlink" Target="https://github.com/ICMC/Computation-Biology/blob/master/modulo1/MitocondriaHomemChimpanze/ACGTprobability.py" TargetMode="External"/><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s://github.com/ICMC/Computation-Biology/blob/master/modulo1/NC_001416/sequence.py"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github.com/ICMC/Computation-Biology/blob/master/modulo1/MitocondriaHomemChimpanze/mitocondria.py" TargetMode="External"/><Relationship Id="rId19" Type="http://schemas.openxmlformats.org/officeDocument/2006/relationships/hyperlink" Target="https://github.com/ICMC/Computation-Biology/blob/master/modulo1/MitocondriaHomemChimpanze/ACGTprobability.py" TargetMode="External"/><Relationship Id="rId4" Type="http://schemas.openxmlformats.org/officeDocument/2006/relationships/footnotes" Target="footnotes.xml"/><Relationship Id="rId9" Type="http://schemas.openxmlformats.org/officeDocument/2006/relationships/hyperlink" Target="https://github.com/ICMC/Computation-Biology/blob/master/modulo1/MitocondriaHomemChimpanze/mitocondria.py" TargetMode="Externa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603</Words>
  <Characters>3440</Characters>
  <Application>Microsoft Office Word</Application>
  <DocSecurity>0</DocSecurity>
  <Lines>28</Lines>
  <Paragraphs>8</Paragraphs>
  <ScaleCrop>false</ScaleCrop>
  <Company>Microsoft</Company>
  <LinksUpToDate>false</LinksUpToDate>
  <CharactersWithSpaces>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 Paula Maule</cp:lastModifiedBy>
  <cp:revision>2</cp:revision>
  <dcterms:created xsi:type="dcterms:W3CDTF">2016-09-22T01:07:00Z</dcterms:created>
  <dcterms:modified xsi:type="dcterms:W3CDTF">2016-09-22T01:13:00Z</dcterms:modified>
</cp:coreProperties>
</file>