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47E9FFF" w14:textId="0148DAB6" w:rsidR="00B44561" w:rsidRDefault="00C92236">
      <w:pPr>
        <w:widowControl w:val="0"/>
      </w:pPr>
      <w:r>
        <w:t>2024 Untitled Film Set</w:t>
      </w:r>
    </w:p>
    <w:p w14:paraId="58CCADB6" w14:textId="77777777" w:rsidR="00B44561" w:rsidRDefault="00000000">
      <w:pPr>
        <w:widowControl w:val="0"/>
      </w:pPr>
      <w:r>
        <w:t>Questions by Ani Perumalla</w:t>
      </w:r>
    </w:p>
    <w:p w14:paraId="3F31022C" w14:textId="77777777" w:rsidR="00B44561" w:rsidRDefault="00B44561">
      <w:pPr>
        <w:widowControl w:val="0"/>
      </w:pPr>
    </w:p>
    <w:p w14:paraId="562D30C5" w14:textId="77777777" w:rsidR="00B44561" w:rsidRDefault="00000000">
      <w:pPr>
        <w:widowControl w:val="0"/>
      </w:pPr>
      <w:r>
        <w:t>Packet 3</w:t>
      </w:r>
    </w:p>
    <w:p w14:paraId="1EB4C6CB" w14:textId="77777777" w:rsidR="00B44561" w:rsidRDefault="00B44561">
      <w:pPr>
        <w:widowControl w:val="0"/>
      </w:pPr>
    </w:p>
    <w:p w14:paraId="183B0954" w14:textId="77777777" w:rsidR="00B44561" w:rsidRDefault="00000000">
      <w:pPr>
        <w:widowControl w:val="0"/>
      </w:pPr>
      <w:r>
        <w:t>Tossups</w:t>
      </w:r>
    </w:p>
    <w:p w14:paraId="2BE19C1B" w14:textId="77777777" w:rsidR="00B44561" w:rsidRDefault="00B44561">
      <w:pPr>
        <w:widowControl w:val="0"/>
      </w:pPr>
    </w:p>
    <w:p w14:paraId="092E8151" w14:textId="77777777" w:rsidR="00B44561" w:rsidRDefault="00000000">
      <w:pPr>
        <w:widowControl w:val="0"/>
      </w:pPr>
      <w:r>
        <w:t xml:space="preserve">1. </w:t>
      </w:r>
      <w:r>
        <w:rPr>
          <w:b/>
        </w:rPr>
        <w:t xml:space="preserve">A film by this director inspired the title of a B-side to “Everything’s Gone Green” by New Order. As a child, this director tried to stage an opera in a toy marionette theatre, so he accepted a directing job on a TV adaptation of </w:t>
      </w:r>
      <w:r>
        <w:rPr>
          <w:b/>
          <w:i/>
        </w:rPr>
        <w:t>The Magic Flute</w:t>
      </w:r>
      <w:r>
        <w:rPr>
          <w:b/>
        </w:rPr>
        <w:t xml:space="preserve">. The last of four versions of the saraband from J. S. Bach’s </w:t>
      </w:r>
      <w:r>
        <w:rPr>
          <w:b/>
          <w:i/>
        </w:rPr>
        <w:t>Cello Suite No. 2</w:t>
      </w:r>
      <w:r>
        <w:rPr>
          <w:b/>
        </w:rPr>
        <w:t xml:space="preserve"> in a film by this director plays as a woman boards a helicopter after stating “I have seen God.” Concert pianist </w:t>
      </w:r>
      <w:proofErr w:type="spellStart"/>
      <w:r>
        <w:rPr>
          <w:b/>
        </w:rPr>
        <w:t>Käbi</w:t>
      </w:r>
      <w:proofErr w:type="spellEnd"/>
      <w:r>
        <w:rPr>
          <w:b/>
        </w:rPr>
        <w:t xml:space="preserve"> </w:t>
      </w:r>
      <w:proofErr w:type="spellStart"/>
      <w:r>
        <w:rPr>
          <w:b/>
        </w:rPr>
        <w:t>Laretei</w:t>
      </w:r>
      <w:proofErr w:type="spellEnd"/>
      <w:r>
        <w:rPr>
          <w:b/>
        </w:rPr>
        <w:t xml:space="preserve"> was once married to this director, whose fictional visit to 50s Hollywood is the theme of a “radio musical” by (*)</w:t>
      </w:r>
      <w:r>
        <w:t xml:space="preserve"> Sparks titled for his “seduction.” In a film by this director, a woman tries her best to play Chopin’s Prelude No. 2 in A Minor for her pianist mother. A film by this director inspired a musical for which Stephen Sondheim wrote “Send in the Clowns,” </w:t>
      </w:r>
      <w:r>
        <w:rPr>
          <w:i/>
        </w:rPr>
        <w:t>A Little Night Music</w:t>
      </w:r>
      <w:r>
        <w:t xml:space="preserve">. For 10 points, a Scott Walker song titled for a film by what director of </w:t>
      </w:r>
      <w:r>
        <w:rPr>
          <w:i/>
        </w:rPr>
        <w:t>Autumn Sonata</w:t>
      </w:r>
      <w:r>
        <w:t xml:space="preserve"> recounts, “this morning I played chess with Death, said the knight?”</w:t>
      </w:r>
    </w:p>
    <w:p w14:paraId="5823BB2B" w14:textId="77777777" w:rsidR="00B44561" w:rsidRDefault="00000000">
      <w:pPr>
        <w:widowControl w:val="0"/>
      </w:pPr>
      <w:r>
        <w:t xml:space="preserve">ANSWER: Ingmar </w:t>
      </w:r>
      <w:r>
        <w:rPr>
          <w:b/>
          <w:u w:val="single"/>
        </w:rPr>
        <w:t>Bergman</w:t>
      </w:r>
      <w:r>
        <w:t xml:space="preserve"> [or Ernst Ingmar </w:t>
      </w:r>
      <w:r>
        <w:rPr>
          <w:b/>
          <w:u w:val="single"/>
        </w:rPr>
        <w:t>Bergman</w:t>
      </w:r>
      <w:r>
        <w:t xml:space="preserve">; accept </w:t>
      </w:r>
      <w:r>
        <w:rPr>
          <w:i/>
        </w:rPr>
        <w:t xml:space="preserve">The Seduction of Ingmar </w:t>
      </w:r>
      <w:r>
        <w:rPr>
          <w:b/>
          <w:i/>
          <w:u w:val="single"/>
        </w:rPr>
        <w:t>Bergman</w:t>
      </w:r>
      <w:r>
        <w:t xml:space="preserve">] </w:t>
      </w:r>
      <w:r w:rsidRPr="003F4064">
        <w:rPr>
          <w:color w:val="666666"/>
        </w:rPr>
        <w:t xml:space="preserve">(The New Order song is “Cries and Whispers.” The film in the third line is </w:t>
      </w:r>
      <w:r w:rsidRPr="003F4064">
        <w:rPr>
          <w:i/>
          <w:color w:val="666666"/>
        </w:rPr>
        <w:t>Through a Glass Darkly</w:t>
      </w:r>
      <w:r w:rsidRPr="003F4064">
        <w:rPr>
          <w:color w:val="666666"/>
        </w:rPr>
        <w:t>.)</w:t>
      </w:r>
    </w:p>
    <w:p w14:paraId="6DD04A0B" w14:textId="77777777" w:rsidR="00B44561" w:rsidRDefault="00000000">
      <w:pPr>
        <w:widowControl w:val="0"/>
      </w:pPr>
      <w:r>
        <w:t>&lt;AP, Written&gt;</w:t>
      </w:r>
    </w:p>
    <w:p w14:paraId="6AB577A3" w14:textId="77777777" w:rsidR="00B44561" w:rsidRDefault="00B44561">
      <w:pPr>
        <w:widowControl w:val="0"/>
      </w:pPr>
    </w:p>
    <w:p w14:paraId="4EBB9AC8" w14:textId="77777777" w:rsidR="00B44561" w:rsidRDefault="00000000">
      <w:pPr>
        <w:widowControl w:val="0"/>
      </w:pPr>
      <w:r>
        <w:t xml:space="preserve">2. </w:t>
      </w:r>
      <w:r>
        <w:rPr>
          <w:b/>
        </w:rPr>
        <w:t xml:space="preserve">This actor’s character trips players and ignores fouls after stepping in as referee for a game of youth basketball in a movie starring the </w:t>
      </w:r>
      <w:proofErr w:type="gramStart"/>
      <w:r>
        <w:rPr>
          <w:b/>
        </w:rPr>
        <w:t>Dead End</w:t>
      </w:r>
      <w:proofErr w:type="gramEnd"/>
      <w:r>
        <w:rPr>
          <w:b/>
        </w:rPr>
        <w:t xml:space="preserve"> Kids. After close-ups on the faces of men passing news about a woman’s death via a telephone line of whispers, a film transitions to wide shots of hundreds of men staring in awe at this actor’s improvised agonizing howls. Another film ends with shots of mushroom clouds after a shot framing this actor in front of flames at a chemical plant. While drenched in rain, a character played by this actor stammers, “I </w:t>
      </w:r>
      <w:proofErr w:type="spellStart"/>
      <w:r>
        <w:rPr>
          <w:b/>
        </w:rPr>
        <w:t>ain’t</w:t>
      </w:r>
      <w:proofErr w:type="spellEnd"/>
      <w:r>
        <w:rPr>
          <w:b/>
        </w:rPr>
        <w:t xml:space="preserve"> so (*)</w:t>
      </w:r>
      <w:r>
        <w:t xml:space="preserve"> tough” in a film that once moved Tony Soprano to tears. This actor’s roles include one in which he has a frenzied breakdown while walking to an electric chair, one ending with the line “Made it, Ma! Top of the world!”, and one in which he smashes a grapefruit into his girlfriend’s face. For 10 points, films like </w:t>
      </w:r>
      <w:r>
        <w:rPr>
          <w:i/>
        </w:rPr>
        <w:t>The Public Enemy</w:t>
      </w:r>
      <w:r>
        <w:t xml:space="preserve">, </w:t>
      </w:r>
      <w:r>
        <w:rPr>
          <w:i/>
        </w:rPr>
        <w:t>Angels with Dirty Faces</w:t>
      </w:r>
      <w:r>
        <w:t xml:space="preserve">, and </w:t>
      </w:r>
      <w:r>
        <w:rPr>
          <w:i/>
        </w:rPr>
        <w:t>White Heat</w:t>
      </w:r>
      <w:r>
        <w:t xml:space="preserve"> built what actor’s reputation for playing gangsters?</w:t>
      </w:r>
    </w:p>
    <w:p w14:paraId="0E2DBA15" w14:textId="77777777" w:rsidR="00B44561" w:rsidRDefault="00000000">
      <w:pPr>
        <w:widowControl w:val="0"/>
      </w:pPr>
      <w:r>
        <w:t xml:space="preserve">ANSWER: James </w:t>
      </w:r>
      <w:r>
        <w:rPr>
          <w:b/>
          <w:u w:val="single"/>
        </w:rPr>
        <w:t>Cagney</w:t>
      </w:r>
      <w:r>
        <w:t xml:space="preserve"> [or James Francis </w:t>
      </w:r>
      <w:r>
        <w:rPr>
          <w:b/>
          <w:u w:val="single"/>
        </w:rPr>
        <w:t>Cagney</w:t>
      </w:r>
      <w:r>
        <w:t xml:space="preserve"> Jr.; or Jimmy </w:t>
      </w:r>
      <w:r>
        <w:rPr>
          <w:b/>
          <w:u w:val="single"/>
        </w:rPr>
        <w:t>Cagney</w:t>
      </w:r>
      <w:r>
        <w:t>]</w:t>
      </w:r>
    </w:p>
    <w:p w14:paraId="0B487FCA" w14:textId="77777777" w:rsidR="00B44561" w:rsidRDefault="00000000">
      <w:pPr>
        <w:widowControl w:val="0"/>
      </w:pPr>
      <w:r>
        <w:t>&lt;AP, Written&gt;</w:t>
      </w:r>
    </w:p>
    <w:p w14:paraId="775B18C9" w14:textId="77777777" w:rsidR="00B44561" w:rsidRDefault="00B44561">
      <w:pPr>
        <w:widowControl w:val="0"/>
      </w:pPr>
    </w:p>
    <w:p w14:paraId="7CD2BDE5" w14:textId="77777777" w:rsidR="00B44561" w:rsidRDefault="00000000">
      <w:pPr>
        <w:widowControl w:val="0"/>
      </w:pPr>
      <w:r>
        <w:t xml:space="preserve">3. </w:t>
      </w:r>
      <w:r>
        <w:rPr>
          <w:b/>
        </w:rPr>
        <w:t xml:space="preserve">The protagonist of a film by this director lists rules for attending funerals, like “never cry,” before a scene in which he cries at a funeral. Literary influences on a film by this director include Flaubert’s goal to write a novel about “nothing” and its epigraph about imagination and travel from Céline’s </w:t>
      </w:r>
      <w:r>
        <w:rPr>
          <w:b/>
          <w:i/>
        </w:rPr>
        <w:t>Journey to the End of the Night</w:t>
      </w:r>
      <w:r>
        <w:rPr>
          <w:b/>
        </w:rPr>
        <w:t>. In a film by this director, the protagonist’s memory of his teenage crush watching him nearly get run over by a yacht is invoked when he sees waves on his bedroom roof. Unconvincing CGI animals in a film by this director include a magician’s giraffe and a flock of (*)</w:t>
      </w:r>
      <w:r>
        <w:t xml:space="preserve"> flamingos that perch on the protagonist’s balcony while a 104-year-old nun asks him why he wrote just one novel. A raucous dance montage celebrating the protagonist’s 65th birthday opens that film by this director, who drew on his childhood as a Napoli fan for a film inspired by Diego Maradona. For 10 points, name this Italian director of </w:t>
      </w:r>
      <w:r>
        <w:rPr>
          <w:i/>
        </w:rPr>
        <w:t>The Hand of God</w:t>
      </w:r>
      <w:r>
        <w:t xml:space="preserve"> and </w:t>
      </w:r>
      <w:r>
        <w:rPr>
          <w:i/>
        </w:rPr>
        <w:t>The Great Beauty</w:t>
      </w:r>
      <w:r>
        <w:t>.</w:t>
      </w:r>
    </w:p>
    <w:p w14:paraId="3BCBE32B" w14:textId="77777777" w:rsidR="00B44561" w:rsidRDefault="00000000">
      <w:pPr>
        <w:widowControl w:val="0"/>
      </w:pPr>
      <w:r>
        <w:t xml:space="preserve">ANSWER: Paolo </w:t>
      </w:r>
      <w:r>
        <w:rPr>
          <w:b/>
          <w:u w:val="single"/>
        </w:rPr>
        <w:t>Sorrentino</w:t>
      </w:r>
    </w:p>
    <w:p w14:paraId="17D6AE88" w14:textId="77777777" w:rsidR="00B44561" w:rsidRDefault="00000000">
      <w:pPr>
        <w:widowControl w:val="0"/>
        <w:rPr>
          <w:b/>
          <w:u w:val="single"/>
        </w:rPr>
      </w:pPr>
      <w:r>
        <w:t>&lt;AP, Written&gt;</w:t>
      </w:r>
    </w:p>
    <w:p w14:paraId="21F25CF1" w14:textId="77A75916" w:rsidR="006E53C2" w:rsidRDefault="006E53C2">
      <w:r>
        <w:br w:type="page"/>
      </w:r>
    </w:p>
    <w:p w14:paraId="69E4529B" w14:textId="77777777" w:rsidR="00B44561" w:rsidRDefault="00000000">
      <w:pPr>
        <w:widowControl w:val="0"/>
      </w:pPr>
      <w:r>
        <w:lastRenderedPageBreak/>
        <w:t xml:space="preserve">4. </w:t>
      </w:r>
      <w:r>
        <w:rPr>
          <w:b/>
        </w:rPr>
        <w:t xml:space="preserve">A documentarian from this country inspired the Ken Burns effect and </w:t>
      </w:r>
      <w:r>
        <w:rPr>
          <w:b/>
          <w:i/>
        </w:rPr>
        <w:t>2001: A Space Odyssey</w:t>
      </w:r>
      <w:r>
        <w:rPr>
          <w:b/>
        </w:rPr>
        <w:t xml:space="preserve"> via the films </w:t>
      </w:r>
      <w:r>
        <w:rPr>
          <w:b/>
          <w:i/>
        </w:rPr>
        <w:t>City of Gold</w:t>
      </w:r>
      <w:r>
        <w:rPr>
          <w:b/>
        </w:rPr>
        <w:t xml:space="preserve"> and </w:t>
      </w:r>
      <w:r>
        <w:rPr>
          <w:b/>
          <w:i/>
        </w:rPr>
        <w:t>Universe</w:t>
      </w:r>
      <w:r>
        <w:rPr>
          <w:b/>
        </w:rPr>
        <w:t xml:space="preserve">. As an homage to a 1987 film from this country made from loose reels found on a cutting room floor, George Lucas made Princess Leia’s cell number 21-87. The curved raised arms of a stick figure that resembles an eye with legs form the logo of an agency from this country called the NFB. A filmmaker from this country coined the term “pixilation” for the stop-motion technique pioneered by the director of </w:t>
      </w:r>
      <w:r>
        <w:rPr>
          <w:b/>
          <w:i/>
        </w:rPr>
        <w:t>Begone Dull Care</w:t>
      </w:r>
      <w:r>
        <w:rPr>
          <w:b/>
        </w:rPr>
        <w:t xml:space="preserve">, </w:t>
      </w:r>
      <w:r>
        <w:rPr>
          <w:b/>
          <w:i/>
        </w:rPr>
        <w:t>Pas de Deux</w:t>
      </w:r>
      <w:r>
        <w:rPr>
          <w:b/>
        </w:rPr>
        <w:t>, and (*)</w:t>
      </w:r>
      <w:r>
        <w:t xml:space="preserve"> </w:t>
      </w:r>
      <w:proofErr w:type="spellStart"/>
      <w:r>
        <w:rPr>
          <w:i/>
        </w:rPr>
        <w:t>Neighbours</w:t>
      </w:r>
      <w:proofErr w:type="spellEnd"/>
      <w:r>
        <w:t xml:space="preserve">. Scots who worked for this country’s National Film Board include the coiner of the term “documentary,” John Grierson, and animator Norman McLaren. IMAX was founded in this country, the setting of a 1922 film whose director instructed the cast to use spears rather than rifles for a walrus hunt. For 10 points, name this country where Robert Flaherty filmed </w:t>
      </w:r>
      <w:r>
        <w:rPr>
          <w:i/>
        </w:rPr>
        <w:t>Nanook of the North</w:t>
      </w:r>
      <w:r>
        <w:t>.</w:t>
      </w:r>
    </w:p>
    <w:p w14:paraId="7741E1F7" w14:textId="77777777" w:rsidR="00B44561" w:rsidRDefault="00000000">
      <w:pPr>
        <w:widowControl w:val="0"/>
      </w:pPr>
      <w:r>
        <w:t xml:space="preserve">ANSWER: </w:t>
      </w:r>
      <w:r>
        <w:rPr>
          <w:b/>
          <w:u w:val="single"/>
        </w:rPr>
        <w:t>Canada</w:t>
      </w:r>
      <w:r>
        <w:t xml:space="preserve"> [accept National Film Board of </w:t>
      </w:r>
      <w:r>
        <w:rPr>
          <w:b/>
          <w:u w:val="single"/>
        </w:rPr>
        <w:t>Canada</w:t>
      </w:r>
      <w:r>
        <w:t>]</w:t>
      </w:r>
    </w:p>
    <w:p w14:paraId="3586C2E2" w14:textId="77777777" w:rsidR="00B44561" w:rsidRDefault="00000000">
      <w:pPr>
        <w:widowControl w:val="0"/>
      </w:pPr>
      <w:r>
        <w:t>&lt;AP, Written&gt;</w:t>
      </w:r>
    </w:p>
    <w:p w14:paraId="0DEF1F36" w14:textId="77777777" w:rsidR="00B44561" w:rsidRDefault="00B44561">
      <w:pPr>
        <w:widowControl w:val="0"/>
      </w:pPr>
    </w:p>
    <w:p w14:paraId="298D1C8E" w14:textId="77777777" w:rsidR="00B44561" w:rsidRDefault="00000000">
      <w:pPr>
        <w:widowControl w:val="0"/>
      </w:pPr>
      <w:r>
        <w:t xml:space="preserve">5. </w:t>
      </w:r>
      <w:r>
        <w:rPr>
          <w:b/>
        </w:rPr>
        <w:t>In a 1948 film, this actor gets drenched in blood and white paint during a knife fight. At another film’s climax, a woman resumes playing piano despite seeing this actor’s character in a shootout against a thief with muddy clothes. This actor is the younger of two men who point a gun at a thief in a baseball stadium in that film, which begins with the off-screen theft of his character’s gun. Another film’s final shot depicts this actor seeing his reflection in a prison cell shutter, after he meets a man who violently shudders as he reckons with death row. In another film, this actor writhes in pain on a beach as the camera tracks left past some (*)</w:t>
      </w:r>
      <w:r>
        <w:t xml:space="preserve"> arrows to focus on a stolen horse. This actor played a man who disarms a woman’s dagger before kissing her in front of her tied-up husband, which he recounts while himself tied up during a trial. For 10 points, name this actor who played a gangster in </w:t>
      </w:r>
      <w:r>
        <w:rPr>
          <w:i/>
        </w:rPr>
        <w:t>Drunken Angel</w:t>
      </w:r>
      <w:r>
        <w:t xml:space="preserve">, a cop in </w:t>
      </w:r>
      <w:r>
        <w:rPr>
          <w:i/>
        </w:rPr>
        <w:t>Stray Dog</w:t>
      </w:r>
      <w:r>
        <w:t xml:space="preserve">, a shoe magnate in </w:t>
      </w:r>
      <w:r>
        <w:rPr>
          <w:i/>
        </w:rPr>
        <w:t>High and Low</w:t>
      </w:r>
      <w:r>
        <w:t xml:space="preserve">, and a bandit in </w:t>
      </w:r>
      <w:r>
        <w:rPr>
          <w:i/>
        </w:rPr>
        <w:t>Rashomon</w:t>
      </w:r>
      <w:r>
        <w:t>.</w:t>
      </w:r>
    </w:p>
    <w:p w14:paraId="258D476F" w14:textId="77777777" w:rsidR="00B44561" w:rsidRDefault="00000000">
      <w:pPr>
        <w:widowControl w:val="0"/>
      </w:pPr>
      <w:r>
        <w:t xml:space="preserve">ANSWER: Toshirō </w:t>
      </w:r>
      <w:r>
        <w:rPr>
          <w:b/>
          <w:u w:val="single"/>
        </w:rPr>
        <w:t>Mifune</w:t>
      </w:r>
      <w:r>
        <w:t xml:space="preserve"> [or </w:t>
      </w:r>
      <w:r>
        <w:rPr>
          <w:b/>
          <w:u w:val="single"/>
        </w:rPr>
        <w:t>Mifune</w:t>
      </w:r>
      <w:r>
        <w:t xml:space="preserve"> Toshirō] </w:t>
      </w:r>
      <w:r w:rsidRPr="003F4064">
        <w:rPr>
          <w:color w:val="666666"/>
        </w:rPr>
        <w:t xml:space="preserve">(The films mentioned are, in order: </w:t>
      </w:r>
      <w:r w:rsidRPr="003F4064">
        <w:rPr>
          <w:i/>
          <w:color w:val="666666"/>
        </w:rPr>
        <w:t>Drunken Angel</w:t>
      </w:r>
      <w:r w:rsidRPr="003F4064">
        <w:rPr>
          <w:color w:val="666666"/>
        </w:rPr>
        <w:t xml:space="preserve">, </w:t>
      </w:r>
      <w:r w:rsidRPr="003F4064">
        <w:rPr>
          <w:i/>
          <w:color w:val="666666"/>
        </w:rPr>
        <w:t>Stray Dog</w:t>
      </w:r>
      <w:r w:rsidRPr="003F4064">
        <w:rPr>
          <w:color w:val="666666"/>
        </w:rPr>
        <w:t xml:space="preserve">, </w:t>
      </w:r>
      <w:r w:rsidRPr="003F4064">
        <w:rPr>
          <w:i/>
          <w:color w:val="666666"/>
        </w:rPr>
        <w:t>Stray Dog</w:t>
      </w:r>
      <w:r w:rsidRPr="003F4064">
        <w:rPr>
          <w:color w:val="666666"/>
        </w:rPr>
        <w:t xml:space="preserve">, </w:t>
      </w:r>
      <w:r w:rsidRPr="003F4064">
        <w:rPr>
          <w:i/>
          <w:color w:val="666666"/>
        </w:rPr>
        <w:t>High and Low</w:t>
      </w:r>
      <w:r w:rsidRPr="003F4064">
        <w:rPr>
          <w:color w:val="666666"/>
        </w:rPr>
        <w:t xml:space="preserve">, </w:t>
      </w:r>
      <w:r w:rsidRPr="003F4064">
        <w:rPr>
          <w:i/>
          <w:color w:val="666666"/>
        </w:rPr>
        <w:t>Rashomon</w:t>
      </w:r>
      <w:r w:rsidRPr="003F4064">
        <w:rPr>
          <w:color w:val="666666"/>
        </w:rPr>
        <w:t xml:space="preserve">, and </w:t>
      </w:r>
      <w:r w:rsidRPr="003F4064">
        <w:rPr>
          <w:i/>
          <w:color w:val="666666"/>
        </w:rPr>
        <w:t>Rashomon</w:t>
      </w:r>
      <w:r w:rsidRPr="003F4064">
        <w:rPr>
          <w:color w:val="666666"/>
        </w:rPr>
        <w:t>.)</w:t>
      </w:r>
    </w:p>
    <w:p w14:paraId="37FA2A9E" w14:textId="77777777" w:rsidR="00B44561" w:rsidRDefault="00000000">
      <w:pPr>
        <w:widowControl w:val="0"/>
      </w:pPr>
      <w:r>
        <w:t>&lt;AP, Written&gt;</w:t>
      </w:r>
    </w:p>
    <w:p w14:paraId="1341B935" w14:textId="77777777" w:rsidR="00B44561" w:rsidRDefault="00B44561">
      <w:pPr>
        <w:widowControl w:val="0"/>
      </w:pPr>
    </w:p>
    <w:p w14:paraId="5B6AD682" w14:textId="77777777" w:rsidR="00B44561" w:rsidRDefault="00000000">
      <w:pPr>
        <w:widowControl w:val="0"/>
      </w:pPr>
      <w:r>
        <w:t xml:space="preserve">6. </w:t>
      </w:r>
      <w:r>
        <w:rPr>
          <w:b/>
        </w:rPr>
        <w:t xml:space="preserve">This composer opened a score with a track inspired by listening for hours to a recording of a door shutting. For a vocal theme from another score, this former member of the band </w:t>
      </w:r>
      <w:proofErr w:type="spellStart"/>
      <w:r>
        <w:rPr>
          <w:b/>
        </w:rPr>
        <w:t>Múm</w:t>
      </w:r>
      <w:proofErr w:type="spellEnd"/>
      <w:r>
        <w:rPr>
          <w:b/>
        </w:rPr>
        <w:t xml:space="preserve"> </w:t>
      </w:r>
      <w:r w:rsidRPr="003F4064">
        <w:rPr>
          <w:b/>
          <w:color w:val="666666"/>
        </w:rPr>
        <w:t>(“</w:t>
      </w:r>
      <w:proofErr w:type="spellStart"/>
      <w:r w:rsidRPr="003F4064">
        <w:rPr>
          <w:b/>
          <w:color w:val="666666"/>
        </w:rPr>
        <w:t>moom</w:t>
      </w:r>
      <w:proofErr w:type="spellEnd"/>
      <w:r w:rsidRPr="003F4064">
        <w:rPr>
          <w:b/>
          <w:color w:val="666666"/>
        </w:rPr>
        <w:t>”)</w:t>
      </w:r>
      <w:r>
        <w:rPr>
          <w:b/>
        </w:rPr>
        <w:t xml:space="preserve"> spoke a mix of real language and gibberish into a telephone. This composer used the term “</w:t>
      </w:r>
      <w:proofErr w:type="spellStart"/>
      <w:r>
        <w:rPr>
          <w:b/>
        </w:rPr>
        <w:t>shitmix</w:t>
      </w:r>
      <w:proofErr w:type="spellEnd"/>
      <w:r>
        <w:rPr>
          <w:b/>
        </w:rPr>
        <w:t>” to describe an instrument played during a scene in which a man gracefully mimics Ray Bolger after a mad sprint in the dark. This composer wrote and performed “Mortar” and “For Petra” for a film’s concept album, which features performances by actress Sophie Kauer and a recording of (*)</w:t>
      </w:r>
      <w:r>
        <w:t xml:space="preserve"> Mahler’s Fifth Symphony by the Dresden Philharmonic. A word meaning “battle,” evoking the style of Jacqueline du Pré, inspired the first name of this composer, who played the </w:t>
      </w:r>
      <w:proofErr w:type="spellStart"/>
      <w:r>
        <w:t>halldorophone</w:t>
      </w:r>
      <w:proofErr w:type="spellEnd"/>
      <w:r>
        <w:t xml:space="preserve"> on the song “Bathroom Dance” and often collaborated with Jóhann </w:t>
      </w:r>
      <w:proofErr w:type="spellStart"/>
      <w:r>
        <w:t>Jóhansson</w:t>
      </w:r>
      <w:proofErr w:type="spellEnd"/>
      <w:r>
        <w:t xml:space="preserve">. For 10 points, the scores for </w:t>
      </w:r>
      <w:r>
        <w:rPr>
          <w:i/>
        </w:rPr>
        <w:t>Chernobyl</w:t>
      </w:r>
      <w:r>
        <w:t xml:space="preserve">, </w:t>
      </w:r>
      <w:proofErr w:type="spellStart"/>
      <w:r>
        <w:rPr>
          <w:i/>
        </w:rPr>
        <w:t>Tár</w:t>
      </w:r>
      <w:proofErr w:type="spellEnd"/>
      <w:r>
        <w:t xml:space="preserve">, and </w:t>
      </w:r>
      <w:r>
        <w:rPr>
          <w:i/>
        </w:rPr>
        <w:t>Joker</w:t>
      </w:r>
      <w:r>
        <w:t xml:space="preserve"> were composed by what Icelandic cellist?</w:t>
      </w:r>
    </w:p>
    <w:p w14:paraId="2CB4122B" w14:textId="0389BDB1" w:rsidR="00B44561" w:rsidRDefault="00000000">
      <w:pPr>
        <w:widowControl w:val="0"/>
      </w:pPr>
      <w:r>
        <w:t xml:space="preserve">ANSWER: </w:t>
      </w:r>
      <w:r>
        <w:rPr>
          <w:b/>
          <w:u w:val="single"/>
        </w:rPr>
        <w:t>Hildur</w:t>
      </w:r>
      <w:r>
        <w:t xml:space="preserve"> </w:t>
      </w:r>
      <w:proofErr w:type="spellStart"/>
      <w:r>
        <w:t>Guðnadóttir</w:t>
      </w:r>
      <w:proofErr w:type="spellEnd"/>
      <w:r>
        <w:t xml:space="preserve"> </w:t>
      </w:r>
      <w:r w:rsidRPr="003F4064">
        <w:rPr>
          <w:color w:val="666666"/>
        </w:rPr>
        <w:t>(“GOOTH-</w:t>
      </w:r>
      <w:proofErr w:type="spellStart"/>
      <w:r w:rsidRPr="003F4064">
        <w:rPr>
          <w:color w:val="666666"/>
        </w:rPr>
        <w:t>na</w:t>
      </w:r>
      <w:proofErr w:type="spellEnd"/>
      <w:r w:rsidRPr="003F4064">
        <w:rPr>
          <w:color w:val="666666"/>
        </w:rPr>
        <w:t>-d</w:t>
      </w:r>
      <w:r w:rsidR="001C761D" w:rsidRPr="003F4064">
        <w:rPr>
          <w:color w:val="666666"/>
        </w:rPr>
        <w:t>oh-</w:t>
      </w:r>
      <w:proofErr w:type="spellStart"/>
      <w:r w:rsidR="001C761D" w:rsidRPr="003F4064">
        <w:rPr>
          <w:color w:val="666666"/>
        </w:rPr>
        <w:t>tir</w:t>
      </w:r>
      <w:proofErr w:type="spellEnd"/>
      <w:r w:rsidRPr="003F4064">
        <w:rPr>
          <w:color w:val="666666"/>
        </w:rPr>
        <w:t>”)</w:t>
      </w:r>
      <w:r>
        <w:t xml:space="preserve"> [accept Hildur </w:t>
      </w:r>
      <w:proofErr w:type="spellStart"/>
      <w:r>
        <w:rPr>
          <w:b/>
          <w:u w:val="single"/>
        </w:rPr>
        <w:t>Guðnadóttir</w:t>
      </w:r>
      <w:proofErr w:type="spellEnd"/>
      <w:r>
        <w:t xml:space="preserve">; reject “Lydia </w:t>
      </w:r>
      <w:proofErr w:type="spellStart"/>
      <w:r>
        <w:t>Tár</w:t>
      </w:r>
      <w:proofErr w:type="spellEnd"/>
      <w:r>
        <w:t xml:space="preserve">”] </w:t>
      </w:r>
      <w:r w:rsidRPr="003F4064">
        <w:rPr>
          <w:color w:val="666666"/>
        </w:rPr>
        <w:t>(</w:t>
      </w:r>
      <w:proofErr w:type="spellStart"/>
      <w:r w:rsidRPr="003F4064">
        <w:rPr>
          <w:color w:val="666666"/>
        </w:rPr>
        <w:t>Guðnadóttir</w:t>
      </w:r>
      <w:proofErr w:type="spellEnd"/>
      <w:r w:rsidRPr="003F4064">
        <w:rPr>
          <w:color w:val="666666"/>
        </w:rPr>
        <w:t xml:space="preserve"> is a patronym, but I didn’t want to penalize players for not knowing that. The lead-in refers to “The Door” from the </w:t>
      </w:r>
      <w:r w:rsidRPr="003F4064">
        <w:rPr>
          <w:i/>
          <w:color w:val="666666"/>
        </w:rPr>
        <w:t>Chernobyl</w:t>
      </w:r>
      <w:r w:rsidRPr="003F4064">
        <w:rPr>
          <w:color w:val="666666"/>
        </w:rPr>
        <w:t xml:space="preserve"> soundtrack. The second line refers to the vocal version of “To Petra” from </w:t>
      </w:r>
      <w:proofErr w:type="spellStart"/>
      <w:r w:rsidRPr="003F4064">
        <w:rPr>
          <w:i/>
          <w:color w:val="666666"/>
        </w:rPr>
        <w:t>Tár</w:t>
      </w:r>
      <w:proofErr w:type="spellEnd"/>
      <w:r w:rsidRPr="003F4064">
        <w:rPr>
          <w:color w:val="666666"/>
        </w:rPr>
        <w:t xml:space="preserve">. The third line refers to the “Bathroom Dance” scene from </w:t>
      </w:r>
      <w:r w:rsidRPr="003F4064">
        <w:rPr>
          <w:i/>
          <w:color w:val="666666"/>
        </w:rPr>
        <w:t>Joker</w:t>
      </w:r>
      <w:r w:rsidRPr="003F4064">
        <w:rPr>
          <w:color w:val="666666"/>
        </w:rPr>
        <w:t>.)</w:t>
      </w:r>
    </w:p>
    <w:p w14:paraId="1329C667" w14:textId="77777777" w:rsidR="00B44561" w:rsidRDefault="00000000">
      <w:pPr>
        <w:widowControl w:val="0"/>
      </w:pPr>
      <w:r>
        <w:t>&lt;AP, Written&gt;</w:t>
      </w:r>
    </w:p>
    <w:p w14:paraId="44AD1B89" w14:textId="3EAFEBF3" w:rsidR="006E53C2" w:rsidRDefault="006E53C2">
      <w:r>
        <w:br w:type="page"/>
      </w:r>
    </w:p>
    <w:p w14:paraId="40062080" w14:textId="77777777" w:rsidR="00B44561" w:rsidRDefault="00000000">
      <w:pPr>
        <w:widowControl w:val="0"/>
      </w:pPr>
      <w:r>
        <w:lastRenderedPageBreak/>
        <w:t xml:space="preserve">7. </w:t>
      </w:r>
      <w:r>
        <w:rPr>
          <w:b/>
        </w:rPr>
        <w:t xml:space="preserve">In a 1991 film, a man with this profession discusses the avalanche that kills the protagonist of Ibsen’s </w:t>
      </w:r>
      <w:r>
        <w:rPr>
          <w:b/>
          <w:i/>
        </w:rPr>
        <w:t>When We Dead Awaken</w:t>
      </w:r>
      <w:r>
        <w:rPr>
          <w:b/>
        </w:rPr>
        <w:t xml:space="preserve"> as if it’s a real event. In that film, an old man is asked why he retired from this so-called “bloody” profession by a woman who says her time in Quebec acquainted her with an adjective meaning “nutty” or “pain in the </w:t>
      </w:r>
      <w:proofErr w:type="spellStart"/>
      <w:r>
        <w:rPr>
          <w:b/>
        </w:rPr>
        <w:t>arse</w:t>
      </w:r>
      <w:proofErr w:type="spellEnd"/>
      <w:r>
        <w:rPr>
          <w:b/>
        </w:rPr>
        <w:t xml:space="preserve">.” In another film, a woman with this profession notes that “it takes two to be funny” after speaking Italian to a woman who tells her it’s “been ages since” she laughed. Jacques Rivette’s four-hour-long film </w:t>
      </w:r>
      <w:r>
        <w:rPr>
          <w:b/>
          <w:i/>
        </w:rPr>
        <w:t>La Belle</w:t>
      </w:r>
      <w:r>
        <w:rPr>
          <w:b/>
        </w:rPr>
        <w:t xml:space="preserve"> (*)</w:t>
      </w:r>
      <w:r>
        <w:rPr>
          <w:i/>
        </w:rPr>
        <w:t xml:space="preserve"> </w:t>
      </w:r>
      <w:proofErr w:type="spellStart"/>
      <w:r>
        <w:rPr>
          <w:i/>
        </w:rPr>
        <w:t>Noiseuse</w:t>
      </w:r>
      <w:proofErr w:type="spellEnd"/>
      <w:r>
        <w:t xml:space="preserve"> </w:t>
      </w:r>
      <w:r w:rsidRPr="003F4064">
        <w:rPr>
          <w:color w:val="666666"/>
        </w:rPr>
        <w:t>(“</w:t>
      </w:r>
      <w:proofErr w:type="spellStart"/>
      <w:r w:rsidRPr="003F4064">
        <w:rPr>
          <w:color w:val="666666"/>
        </w:rPr>
        <w:t>n’wah</w:t>
      </w:r>
      <w:proofErr w:type="spellEnd"/>
      <w:r w:rsidRPr="003F4064">
        <w:rPr>
          <w:color w:val="666666"/>
        </w:rPr>
        <w:t>-ZUZ”)</w:t>
      </w:r>
      <w:r>
        <w:t xml:space="preserve"> is based on a story about this profession from Balzac’s </w:t>
      </w:r>
      <w:r>
        <w:rPr>
          <w:i/>
        </w:rPr>
        <w:t>Human Comedy</w:t>
      </w:r>
      <w:r>
        <w:t xml:space="preserve">. In another film, visions of a woman in a wedding dress haunt a character with this profession, who struggles to recollect the Presto from Vivaldi’s “Summer” to play on a harpsichord for a woman likened to Eurydice. For 10 points, Marianne hides her work in what profession from Héloïse </w:t>
      </w:r>
      <w:r w:rsidRPr="003F4064">
        <w:rPr>
          <w:color w:val="666666"/>
        </w:rPr>
        <w:t>(“ay-</w:t>
      </w:r>
      <w:proofErr w:type="spellStart"/>
      <w:r w:rsidRPr="003F4064">
        <w:rPr>
          <w:color w:val="666666"/>
        </w:rPr>
        <w:t>loh</w:t>
      </w:r>
      <w:proofErr w:type="spellEnd"/>
      <w:r w:rsidRPr="003F4064">
        <w:rPr>
          <w:color w:val="666666"/>
        </w:rPr>
        <w:t>-EEZ”)</w:t>
      </w:r>
      <w:r>
        <w:t xml:space="preserve"> in Céline </w:t>
      </w:r>
      <w:proofErr w:type="spellStart"/>
      <w:r>
        <w:t>Sciamma’s</w:t>
      </w:r>
      <w:proofErr w:type="spellEnd"/>
      <w:r>
        <w:t> </w:t>
      </w:r>
      <w:r w:rsidRPr="003F4064">
        <w:rPr>
          <w:color w:val="666666"/>
        </w:rPr>
        <w:t>(“</w:t>
      </w:r>
      <w:proofErr w:type="spellStart"/>
      <w:r w:rsidRPr="003F4064">
        <w:rPr>
          <w:color w:val="666666"/>
        </w:rPr>
        <w:t>syah-mah’s</w:t>
      </w:r>
      <w:proofErr w:type="spellEnd"/>
      <w:r w:rsidRPr="003F4064">
        <w:rPr>
          <w:color w:val="666666"/>
        </w:rPr>
        <w:t>”)</w:t>
      </w:r>
      <w:r>
        <w:t xml:space="preserve"> </w:t>
      </w:r>
      <w:r>
        <w:rPr>
          <w:i/>
        </w:rPr>
        <w:t>Portrait of a Lady on Fire</w:t>
      </w:r>
      <w:r>
        <w:t>?</w:t>
      </w:r>
    </w:p>
    <w:p w14:paraId="46199E26" w14:textId="77777777" w:rsidR="00B44561" w:rsidRDefault="00000000">
      <w:pPr>
        <w:widowControl w:val="0"/>
      </w:pPr>
      <w:r>
        <w:t xml:space="preserve">ANSWER: </w:t>
      </w:r>
      <w:r>
        <w:rPr>
          <w:b/>
          <w:u w:val="single"/>
        </w:rPr>
        <w:t>painter</w:t>
      </w:r>
      <w:r>
        <w:t xml:space="preserve">s [or </w:t>
      </w:r>
      <w:proofErr w:type="spellStart"/>
      <w:r>
        <w:rPr>
          <w:b/>
          <w:u w:val="single"/>
        </w:rPr>
        <w:t>peintre</w:t>
      </w:r>
      <w:r>
        <w:t>s</w:t>
      </w:r>
      <w:proofErr w:type="spellEnd"/>
      <w:r>
        <w:t xml:space="preserve">; or </w:t>
      </w:r>
      <w:r>
        <w:rPr>
          <w:b/>
          <w:u w:val="single"/>
        </w:rPr>
        <w:t>portrait</w:t>
      </w:r>
      <w:r>
        <w:t xml:space="preserve"> artists; prompt on </w:t>
      </w:r>
      <w:r>
        <w:rPr>
          <w:u w:val="single"/>
        </w:rPr>
        <w:t>art</w:t>
      </w:r>
      <w:r>
        <w:t>ists; reject “sculptors”]</w:t>
      </w:r>
    </w:p>
    <w:p w14:paraId="5FD4F4DD" w14:textId="77777777" w:rsidR="00B44561" w:rsidRDefault="00000000">
      <w:pPr>
        <w:widowControl w:val="0"/>
      </w:pPr>
      <w:r>
        <w:t>&lt;AP, Written&gt;</w:t>
      </w:r>
    </w:p>
    <w:p w14:paraId="07C2B30E" w14:textId="77777777" w:rsidR="00B44561" w:rsidRDefault="00B44561">
      <w:pPr>
        <w:widowControl w:val="0"/>
      </w:pPr>
    </w:p>
    <w:p w14:paraId="535BE1B9" w14:textId="0ED8CEAE" w:rsidR="00B44561" w:rsidRDefault="00000000">
      <w:pPr>
        <w:widowControl w:val="0"/>
      </w:pPr>
      <w:r>
        <w:t xml:space="preserve">8. </w:t>
      </w:r>
      <w:r>
        <w:rPr>
          <w:b/>
        </w:rPr>
        <w:t xml:space="preserve">A filmmaker of this ethnicity directed the </w:t>
      </w:r>
      <w:r>
        <w:rPr>
          <w:b/>
          <w:i/>
        </w:rPr>
        <w:t>Badlands</w:t>
      </w:r>
      <w:r>
        <w:rPr>
          <w:b/>
        </w:rPr>
        <w:t>-</w:t>
      </w:r>
      <w:proofErr w:type="spellStart"/>
      <w:r>
        <w:rPr>
          <w:b/>
        </w:rPr>
        <w:t>esque</w:t>
      </w:r>
      <w:proofErr w:type="spellEnd"/>
      <w:r>
        <w:rPr>
          <w:b/>
        </w:rPr>
        <w:t xml:space="preserve"> </w:t>
      </w:r>
      <w:r>
        <w:rPr>
          <w:b/>
          <w:i/>
        </w:rPr>
        <w:t>Samson and Delilah</w:t>
      </w:r>
      <w:r>
        <w:rPr>
          <w:b/>
        </w:rPr>
        <w:t xml:space="preserve"> and the western </w:t>
      </w:r>
      <w:r>
        <w:rPr>
          <w:b/>
          <w:i/>
        </w:rPr>
        <w:t>Sweet Country</w:t>
      </w:r>
      <w:r>
        <w:rPr>
          <w:b/>
        </w:rPr>
        <w:t>. A character of this ethnicity pops a red balloon released by a male scientist trying to flirt with his only female colleague. The first film to feature a reconstructed language used among this ethnicity was one that ends with a character named for its word for “blackbird” listening to a Gaelic folk song on a beach. A dance sequence from a 1971 film depicts a teenager of this ethnicity courting a girl who witnessed her father shoot himself after failing to kill her and her brother at a family (*)</w:t>
      </w:r>
      <w:r>
        <w:t xml:space="preserve"> picnic. A man of this ethnicity helps an Irish immigrant take revenge on a lieutenant for raping her and killing her husband in Jennifer Kent’s </w:t>
      </w:r>
      <w:r>
        <w:rPr>
          <w:i/>
        </w:rPr>
        <w:t>The Nightingale</w:t>
      </w:r>
      <w:r>
        <w:t xml:space="preserve">. The best-known actor of this ethnicity, David Gulpilil </w:t>
      </w:r>
      <w:r w:rsidRPr="003F4064">
        <w:rPr>
          <w:color w:val="666666"/>
        </w:rPr>
        <w:t>(“KOOL-</w:t>
      </w:r>
      <w:proofErr w:type="spellStart"/>
      <w:r w:rsidRPr="003F4064">
        <w:rPr>
          <w:color w:val="666666"/>
        </w:rPr>
        <w:t>pil</w:t>
      </w:r>
      <w:proofErr w:type="spellEnd"/>
      <w:r w:rsidRPr="003F4064">
        <w:rPr>
          <w:color w:val="666666"/>
        </w:rPr>
        <w:t>-il”)</w:t>
      </w:r>
      <w:r>
        <w:t xml:space="preserve">, debuted in Nicolas Roeg’s </w:t>
      </w:r>
      <w:r>
        <w:rPr>
          <w:i/>
        </w:rPr>
        <w:t>Walkabout</w:t>
      </w:r>
      <w:r>
        <w:t xml:space="preserve">. For 10 points, the film </w:t>
      </w:r>
      <w:r>
        <w:rPr>
          <w:i/>
        </w:rPr>
        <w:t>Rabbit-Proof Fence</w:t>
      </w:r>
      <w:r>
        <w:t xml:space="preserve"> raised awareness of what ethnicity’s “stolen generations?”</w:t>
      </w:r>
    </w:p>
    <w:p w14:paraId="06EF548C" w14:textId="77777777" w:rsidR="00B44561" w:rsidRDefault="00000000">
      <w:pPr>
        <w:widowControl w:val="0"/>
      </w:pPr>
      <w:r>
        <w:t xml:space="preserve">ANSWER: </w:t>
      </w:r>
      <w:r>
        <w:rPr>
          <w:b/>
          <w:u w:val="single"/>
        </w:rPr>
        <w:t>Aboriginal</w:t>
      </w:r>
      <w:r>
        <w:t xml:space="preserve"> Australians [or </w:t>
      </w:r>
      <w:r>
        <w:rPr>
          <w:b/>
          <w:u w:val="single"/>
        </w:rPr>
        <w:t>Aboriginal</w:t>
      </w:r>
      <w:r>
        <w:t xml:space="preserve"> Tasmanians; accept specific subgroups like </w:t>
      </w:r>
      <w:r>
        <w:rPr>
          <w:b/>
          <w:u w:val="single"/>
        </w:rPr>
        <w:t>Kaytetye</w:t>
      </w:r>
      <w:r>
        <w:t xml:space="preserve">, </w:t>
      </w:r>
      <w:r>
        <w:rPr>
          <w:b/>
          <w:u w:val="single"/>
        </w:rPr>
        <w:t>Warlpiri</w:t>
      </w:r>
      <w:r>
        <w:t xml:space="preserve">, or </w:t>
      </w:r>
      <w:r>
        <w:rPr>
          <w:b/>
          <w:u w:val="single"/>
        </w:rPr>
        <w:t>Yolngu</w:t>
      </w:r>
      <w:r>
        <w:t xml:space="preserve">; accept </w:t>
      </w:r>
      <w:r>
        <w:rPr>
          <w:b/>
          <w:u w:val="single"/>
        </w:rPr>
        <w:t>Indigenous Australian</w:t>
      </w:r>
      <w:r>
        <w:t xml:space="preserve">s; prompt on </w:t>
      </w:r>
      <w:r>
        <w:rPr>
          <w:u w:val="single"/>
        </w:rPr>
        <w:t>First Nations</w:t>
      </w:r>
      <w:r>
        <w:t xml:space="preserve"> or </w:t>
      </w:r>
      <w:r>
        <w:rPr>
          <w:u w:val="single"/>
        </w:rPr>
        <w:t>Indigenous</w:t>
      </w:r>
      <w:r>
        <w:t xml:space="preserve"> people by asking “of what country?”] </w:t>
      </w:r>
      <w:r w:rsidRPr="003F4064">
        <w:rPr>
          <w:color w:val="666666"/>
        </w:rPr>
        <w:t xml:space="preserve">(The director in the lead-in is Warwick Thornton. The language is </w:t>
      </w:r>
      <w:proofErr w:type="spellStart"/>
      <w:r w:rsidRPr="003F4064">
        <w:rPr>
          <w:i/>
          <w:color w:val="666666"/>
        </w:rPr>
        <w:t>palawa</w:t>
      </w:r>
      <w:proofErr w:type="spellEnd"/>
      <w:r w:rsidRPr="003F4064">
        <w:rPr>
          <w:i/>
          <w:color w:val="666666"/>
        </w:rPr>
        <w:t xml:space="preserve"> </w:t>
      </w:r>
      <w:proofErr w:type="spellStart"/>
      <w:r w:rsidRPr="003F4064">
        <w:rPr>
          <w:i/>
          <w:color w:val="666666"/>
        </w:rPr>
        <w:t>kani</w:t>
      </w:r>
      <w:proofErr w:type="spellEnd"/>
      <w:r w:rsidRPr="003F4064">
        <w:rPr>
          <w:color w:val="666666"/>
        </w:rPr>
        <w:t xml:space="preserve">, which was used in </w:t>
      </w:r>
      <w:r w:rsidRPr="003F4064">
        <w:rPr>
          <w:i/>
          <w:color w:val="666666"/>
        </w:rPr>
        <w:t>The Nightingale</w:t>
      </w:r>
      <w:r w:rsidRPr="003F4064">
        <w:rPr>
          <w:color w:val="666666"/>
        </w:rPr>
        <w:t>.)</w:t>
      </w:r>
    </w:p>
    <w:p w14:paraId="268B2646" w14:textId="77777777" w:rsidR="00B44561" w:rsidRDefault="00000000">
      <w:pPr>
        <w:widowControl w:val="0"/>
      </w:pPr>
      <w:r>
        <w:t>&lt;AP, Written&gt;</w:t>
      </w:r>
    </w:p>
    <w:p w14:paraId="434813BC" w14:textId="77777777" w:rsidR="00B44561" w:rsidRDefault="00B44561">
      <w:pPr>
        <w:widowControl w:val="0"/>
      </w:pPr>
    </w:p>
    <w:p w14:paraId="3F29F800" w14:textId="77777777" w:rsidR="00B44561" w:rsidRDefault="00000000">
      <w:pPr>
        <w:widowControl w:val="0"/>
      </w:pPr>
      <w:r>
        <w:t xml:space="preserve">9. </w:t>
      </w:r>
      <w:r>
        <w:rPr>
          <w:b/>
        </w:rPr>
        <w:t>In this film, a security guard stares blankly at his desk vibrating during an earthquake, which seems to be caused by a man smashing a stool into his room’s heating unit. While the protagonist sits in a car outside a scrapyard, this film abruptly cuts to shots of his wife listening to Spanish audio lessons and the corpse of a monkey attached to a bathtub, but only for a split second each. Every scene in this film set in its protagonist’s flat is accompanied by the low hum of his dryer unit running an empty load. A whimsical piano riff plays over shots of a man detaching a pipe after this film’s opening scene, in which a woman recounts the tale of (*)</w:t>
      </w:r>
      <w:r>
        <w:t xml:space="preserve"> Bluebeard to a therapist. This film’s antagonist, who appears to suddenly manifest on an empty beach and repeatedly asks questions like “who are you?”, mesmerizes a teacher, policeman, and doctor using nothing but a lighter. For 10 points, a detective investigates murders involving the letter X in what film by Kiyoshi Kurosawa?</w:t>
      </w:r>
    </w:p>
    <w:p w14:paraId="481BF6A2" w14:textId="77777777" w:rsidR="00B44561" w:rsidRDefault="00000000">
      <w:pPr>
        <w:widowControl w:val="0"/>
      </w:pPr>
      <w:r>
        <w:t xml:space="preserve">ANSWER: </w:t>
      </w:r>
      <w:r>
        <w:rPr>
          <w:b/>
          <w:i/>
          <w:u w:val="single"/>
        </w:rPr>
        <w:t>Cure</w:t>
      </w:r>
    </w:p>
    <w:p w14:paraId="73D18E7F" w14:textId="77777777" w:rsidR="00B44561" w:rsidRDefault="00000000">
      <w:pPr>
        <w:widowControl w:val="0"/>
        <w:rPr>
          <w:b/>
          <w:i/>
          <w:u w:val="single"/>
        </w:rPr>
      </w:pPr>
      <w:r>
        <w:t>&lt;AP, Written&gt;</w:t>
      </w:r>
    </w:p>
    <w:p w14:paraId="4954A2AF" w14:textId="3965AACE" w:rsidR="006E53C2" w:rsidRDefault="006E53C2">
      <w:r>
        <w:br w:type="page"/>
      </w:r>
    </w:p>
    <w:p w14:paraId="4EF1F9DA" w14:textId="77777777" w:rsidR="00B44561" w:rsidRDefault="00000000">
      <w:pPr>
        <w:widowControl w:val="0"/>
      </w:pPr>
      <w:r>
        <w:lastRenderedPageBreak/>
        <w:t xml:space="preserve">10. </w:t>
      </w:r>
      <w:r>
        <w:rPr>
          <w:b/>
        </w:rPr>
        <w:t xml:space="preserve">Curtis Harrington loosely adapted this film’s plot into Dennis Hopper’s debut film, </w:t>
      </w:r>
      <w:r>
        <w:rPr>
          <w:b/>
          <w:i/>
        </w:rPr>
        <w:t>Night Tide</w:t>
      </w:r>
      <w:r>
        <w:rPr>
          <w:b/>
        </w:rPr>
        <w:t xml:space="preserve">. This film’s protagonist has a nightmare of a man dressed as St. John. In a shot from this film, the protagonist is framed behind a museum statue of Anubis. An engineer’s shadow is framed such that his T-square resembles a cross in a shot from the climax of this film, which features a dark pool scene emulated by </w:t>
      </w:r>
      <w:r>
        <w:rPr>
          <w:b/>
          <w:i/>
        </w:rPr>
        <w:t>It Follows</w:t>
      </w:r>
      <w:r>
        <w:rPr>
          <w:b/>
        </w:rPr>
        <w:t xml:space="preserve">. The theme of a remake of this film plays over the montage of </w:t>
      </w:r>
      <w:proofErr w:type="spellStart"/>
      <w:r>
        <w:rPr>
          <w:b/>
        </w:rPr>
        <w:t>Shosanna</w:t>
      </w:r>
      <w:proofErr w:type="spellEnd"/>
      <w:r>
        <w:rPr>
          <w:b/>
        </w:rPr>
        <w:t xml:space="preserve"> preparing for movie night in </w:t>
      </w:r>
      <w:r>
        <w:rPr>
          <w:b/>
          <w:i/>
        </w:rPr>
        <w:t>Inglourious Basterds</w:t>
      </w:r>
      <w:r>
        <w:rPr>
          <w:b/>
        </w:rPr>
        <w:t>. The plot of a film resembling this one is the first that Luis recounts to Valentín in (*)</w:t>
      </w:r>
      <w:r>
        <w:rPr>
          <w:i/>
        </w:rPr>
        <w:t xml:space="preserve"> Kiss of the Spider Woman</w:t>
      </w:r>
      <w:r>
        <w:t xml:space="preserve">. A sequence of tracking shots of the high heels of this film’s protagonist is suddenly interrupted by the sound of a bus’s engine, which is a moment often considered “cinema’s first </w:t>
      </w:r>
      <w:proofErr w:type="spellStart"/>
      <w:r>
        <w:t>jumpscare</w:t>
      </w:r>
      <w:proofErr w:type="spellEnd"/>
      <w:r>
        <w:t>.” For 10 points, Val Lewton produced what Jacques Tourneur film about a woman who believes that arousal turned her ancestors into panthers?</w:t>
      </w:r>
    </w:p>
    <w:p w14:paraId="340AF7B6" w14:textId="77777777" w:rsidR="00B44561" w:rsidRDefault="00000000">
      <w:pPr>
        <w:widowControl w:val="0"/>
      </w:pPr>
      <w:r>
        <w:t xml:space="preserve">ANSWER: </w:t>
      </w:r>
      <w:r>
        <w:rPr>
          <w:b/>
          <w:i/>
          <w:u w:val="single"/>
        </w:rPr>
        <w:t>Cat People</w:t>
      </w:r>
      <w:r>
        <w:t xml:space="preserve"> [accept “</w:t>
      </w:r>
      <w:r>
        <w:rPr>
          <w:b/>
          <w:u w:val="single"/>
        </w:rPr>
        <w:t>Cat People</w:t>
      </w:r>
      <w:r w:rsidRPr="00C148CD">
        <w:rPr>
          <w:color w:val="000000" w:themeColor="text1"/>
        </w:rPr>
        <w:t xml:space="preserve"> (Putting Out Fire)</w:t>
      </w:r>
      <w:r>
        <w:t xml:space="preserve">”] </w:t>
      </w:r>
      <w:r w:rsidRPr="003F4064">
        <w:rPr>
          <w:color w:val="666666"/>
        </w:rPr>
        <w:t xml:space="preserve">(David Bowie wrote the theme of Paul Schrader’s remake of </w:t>
      </w:r>
      <w:r w:rsidRPr="003F4064">
        <w:rPr>
          <w:i/>
          <w:color w:val="666666"/>
        </w:rPr>
        <w:t>Cat People</w:t>
      </w:r>
      <w:r w:rsidRPr="003F4064">
        <w:rPr>
          <w:color w:val="666666"/>
        </w:rPr>
        <w:t>.)</w:t>
      </w:r>
    </w:p>
    <w:p w14:paraId="23CDE0F4" w14:textId="4D267C6A" w:rsidR="00EC02CE" w:rsidRDefault="00000000" w:rsidP="00EC02CE">
      <w:pPr>
        <w:widowControl w:val="0"/>
      </w:pPr>
      <w:r>
        <w:t>&lt;AP, Written&gt;</w:t>
      </w:r>
    </w:p>
    <w:p w14:paraId="29342D09" w14:textId="182C9A4A" w:rsidR="00B44561" w:rsidRDefault="00B44561"/>
    <w:p>
      <w:r>
        <w:t xml:space="preserve">11. </w:t>
      </w:r>
      <w:r>
        <w:rPr>
          <w:b/>
          <w:u w:val="single"/>
        </w:rPr>
        <w:t xml:space="preserve">1 </w:t>
      </w:r>
      <w:r>
        <w:rPr>
          <w:b/>
          <w:u w:val="single"/>
        </w:rPr>
        <w:t xml:space="preserve">2 </w:t>
      </w:r>
      <w:r>
        <w:rPr>
          <w:b/>
          <w:u w:val="single"/>
        </w:rPr>
        <w:t>(+)</w:t>
      </w:r>
      <w:r>
        <w:t xml:space="preserve"> </w:t>
      </w:r>
      <w:r>
        <w:rPr>
          <w:b/>
        </w:rPr>
        <w:t xml:space="preserve">3 </w:t>
      </w:r>
      <w:r>
        <w:rPr>
          <w:b/>
        </w:rPr>
        <w:t xml:space="preserve">4 </w:t>
      </w:r>
      <w:r>
        <w:rPr>
          <w:b/>
        </w:rPr>
        <w:t xml:space="preserve">5 </w:t>
      </w:r>
      <w:r>
        <w:rPr>
          <w:b/>
        </w:rPr>
        <w:t>(*)</w:t>
      </w:r>
      <w:r>
        <w:t xml:space="preserve"> </w:t>
      </w:r>
      <w:r>
        <w:t xml:space="preserve">6 </w:t>
      </w:r>
      <w:r>
        <w:t xml:space="preserve">7 </w:t>
      </w:r>
      <w:r>
        <w:t>8</w:t>
      </w:r>
    </w:p>
    <w:p>
      <w:r>
        <w:t xml:space="preserve">ANSWER: </w:t>
      </w:r>
      <w:r>
        <w:rPr>
          <w:i/>
        </w:rPr>
        <w:t xml:space="preserve">El </w:t>
      </w:r>
      <w:r>
        <w:rPr>
          <w:b/>
          <w:i/>
          <w:u w:val="single"/>
        </w:rPr>
        <w:t>Mariachi</w:t>
      </w:r>
      <w:r/>
      <w:r>
        <w:t xml:space="preserve"> (dir. Robert Rodriguez)</w:t>
      </w:r>
    </w:p>
    <w:p>
      <w:r>
        <w:t>&lt;AP, Visual&gt;</w:t>
      </w:r>
    </w:p>
    <w:p/>
    <w:p>
      <w:r>
        <w:t xml:space="preserve">12.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British Pakistanis</w:t>
      </w:r>
      <w:r/>
      <w:r>
        <w:t xml:space="preserve"> [</w:t>
      </w:r>
      <w:r>
        <w:t xml:space="preserve">or </w:t>
      </w:r>
      <w:r/>
      <w:r>
        <w:rPr>
          <w:b/>
          <w:u w:val="single"/>
        </w:rPr>
        <w:t>Pakistanis in Great Britain</w:t>
      </w:r>
      <w:r>
        <w:t xml:space="preserve">; </w:t>
      </w:r>
      <w:r>
        <w:t xml:space="preserve">or </w:t>
      </w:r>
      <w:r/>
      <w:r>
        <w:rPr>
          <w:b/>
          <w:u w:val="single"/>
        </w:rPr>
        <w:t>Pakistanis in the United Kingdom</w:t>
      </w:r>
      <w:r>
        <w:t xml:space="preserve">; </w:t>
      </w:r>
      <w:r>
        <w:t xml:space="preserve">or </w:t>
      </w:r>
      <w:r/>
      <w:r>
        <w:rPr>
          <w:b/>
          <w:u w:val="single"/>
        </w:rPr>
        <w:t>Pakistanis in England</w:t>
      </w:r>
      <w:r>
        <w:t xml:space="preserve">; </w:t>
      </w:r>
      <w:r>
        <w:t xml:space="preserve">accept </w:t>
      </w:r>
      <w:r/>
      <w:r>
        <w:rPr>
          <w:b/>
          <w:u w:val="single"/>
        </w:rPr>
        <w:t>British Muslims</w:t>
      </w:r>
      <w:r>
        <w:t>]</w:t>
      </w:r>
      <w:r>
        <w:t xml:space="preserve"> (Sources: </w:t>
      </w:r>
      <w:r>
        <w:rPr>
          <w:i/>
        </w:rPr>
        <w:t>My Beautiful Laundrette</w:t>
      </w:r>
      <w:r>
        <w:t xml:space="preserve"> - dir. Stephen Frears</w:t>
      </w:r>
      <w:r>
        <w:t xml:space="preserve">; </w:t>
      </w:r>
      <w:r>
        <w:rPr>
          <w:i/>
        </w:rPr>
        <w:t>Four Lions</w:t>
      </w:r>
      <w:r>
        <w:t xml:space="preserve"> - dir. Chris Morris</w:t>
      </w:r>
      <w:r>
        <w:t>)</w:t>
      </w:r>
    </w:p>
    <w:p>
      <w:r>
        <w:t>&lt;AP, Visual&gt;</w:t>
      </w:r>
    </w:p>
    <w:p/>
    <w:p>
      <w:r>
        <w:t xml:space="preserve">13.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Emma</w:t>
      </w:r>
      <w:r/>
      <w:r>
        <w:t xml:space="preserve"> (Sources: </w:t>
      </w:r>
      <w:r>
        <w:rPr>
          <w:i/>
        </w:rPr>
        <w:t>Clueless</w:t>
      </w:r>
      <w:r>
        <w:t xml:space="preserve"> - dir. Amy Heckerling</w:t>
      </w:r>
      <w:r>
        <w:t xml:space="preserve">; </w:t>
      </w:r>
      <w:r>
        <w:rPr>
          <w:i/>
        </w:rPr>
        <w:t>Emma</w:t>
      </w:r>
      <w:r>
        <w:t xml:space="preserve"> - dir. Autumn de Wilde</w:t>
      </w:r>
      <w:r>
        <w:t>)</w:t>
      </w:r>
    </w:p>
    <w:p>
      <w:r>
        <w:t>&lt;AP, Visual&gt;</w:t>
      </w:r>
    </w:p>
    <w:p/>
    <w:p>
      <w:r>
        <w:t xml:space="preserve">14.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Roman Holiday</w:t>
      </w:r>
      <w:r/>
      <w:r>
        <w:t xml:space="preserve"> (dir. William Wyler)</w:t>
      </w:r>
    </w:p>
    <w:p>
      <w:r>
        <w:t>&lt;AP, Visual&gt;</w:t>
      </w:r>
    </w:p>
    <w:p/>
    <w:p>
      <w:r>
        <w:t xml:space="preserve">15.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Guy</w:t>
      </w:r>
      <w:r>
        <w:t xml:space="preserve"> </w:t>
      </w:r>
      <w:r>
        <w:rPr>
          <w:b/>
          <w:u w:val="single"/>
        </w:rPr>
        <w:t>Ritchie</w:t>
      </w:r>
      <w:r/>
      <w:r>
        <w:t xml:space="preserve"> [</w:t>
      </w:r>
      <w:r>
        <w:t xml:space="preserve">or </w:t>
      </w:r>
      <w:r>
        <w:t>Guy</w:t>
      </w:r>
      <w:r>
        <w:t xml:space="preserve"> </w:t>
      </w:r>
      <w:r>
        <w:t>Stuart</w:t>
      </w:r>
      <w:r>
        <w:t xml:space="preserve"> </w:t>
      </w:r>
      <w:r>
        <w:rPr>
          <w:b/>
          <w:u w:val="single"/>
        </w:rPr>
        <w:t>Ritchie</w:t>
      </w:r>
      <w:r>
        <w:t>]</w:t>
      </w:r>
      <w:r>
        <w:t xml:space="preserve"> (Sources: </w:t>
      </w:r>
      <w:r>
        <w:rPr>
          <w:i/>
        </w:rPr>
        <w:t>Lock, Stock and Two Smoking Barrels</w:t>
      </w:r>
      <w:r>
        <w:t xml:space="preserve">; </w:t>
      </w:r>
      <w:r>
        <w:rPr>
          <w:i/>
        </w:rPr>
        <w:t>Snatch</w:t>
      </w:r>
      <w:r>
        <w:t>)</w:t>
      </w:r>
    </w:p>
    <w:p>
      <w:r>
        <w:t>&lt;AP, Visual&gt;</w:t>
      </w:r>
    </w:p>
    <w:p/>
    <w:p>
      <w:r>
        <w:t xml:space="preserve">16.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Cape Fear</w:t>
      </w:r>
      <w:r/>
      <w:r>
        <w:t xml:space="preserve"> (dir. Martin Scorsese)</w:t>
      </w:r>
    </w:p>
    <w:p>
      <w:r>
        <w:t>&lt;AP, Visual&gt;</w:t>
      </w:r>
    </w:p>
    <w:p/>
    <w:p>
      <w:r>
        <w:t xml:space="preserve">17.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Wall Street</w:t>
      </w:r>
      <w:r/>
      <w:r>
        <w:t xml:space="preserve"> (dir. Oliver Stone)</w:t>
      </w:r>
    </w:p>
    <w:p>
      <w:r>
        <w:t>&lt;AP, Visual&gt;</w:t>
      </w:r>
    </w:p>
    <w:p/>
    <w:p>
      <w:r>
        <w:t xml:space="preserve">18.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t xml:space="preserve">A </w:t>
      </w:r>
      <w:r>
        <w:rPr>
          <w:b/>
          <w:i/>
          <w:u w:val="single"/>
        </w:rPr>
        <w:t>Serious Man</w:t>
      </w:r>
      <w:r/>
      <w:r>
        <w:t xml:space="preserve"> (dir. Ethan Coen, Joel Coen)</w:t>
      </w:r>
    </w:p>
    <w:p>
      <w:r>
        <w:t>&lt;AP, Visual&gt;</w:t>
      </w:r>
    </w:p>
    <w:p/>
    <w:p>
      <w:r>
        <w:t xml:space="preserve">19. </w:t>
      </w:r>
      <w:r>
        <w:rPr>
          <w:b/>
          <w:u w:val="single"/>
        </w:rPr>
        <w:t xml:space="preserve">1 </w:t>
      </w:r>
      <w:r>
        <w:rPr>
          <w:b/>
          <w:u w:val="single"/>
        </w:rPr>
        <w:t>(+)</w:t>
      </w:r>
      <w:r>
        <w:t xml:space="preserve"> </w:t>
      </w:r>
      <w:r>
        <w:rPr>
          <w:b/>
        </w:rPr>
        <w:t xml:space="preserve">2 </w:t>
      </w:r>
      <w:r>
        <w:rPr>
          <w:b/>
        </w:rPr>
        <w:t xml:space="preserve">3 </w:t>
      </w:r>
      <w:r>
        <w:rPr>
          <w:b/>
        </w:rPr>
        <w:t xml:space="preserve">4 </w:t>
      </w:r>
      <w:r>
        <w:rPr>
          <w:b/>
        </w:rPr>
        <w:t xml:space="preserve">5 </w:t>
      </w:r>
      <w:r>
        <w:rPr>
          <w:b/>
        </w:rPr>
        <w:t>(*)</w:t>
      </w:r>
      <w:r>
        <w:t xml:space="preserve"> </w:t>
      </w:r>
      <w:r>
        <w:t xml:space="preserve">6 </w:t>
      </w:r>
      <w:r>
        <w:t xml:space="preserve">7 </w:t>
      </w:r>
      <w:r>
        <w:t>8</w:t>
      </w:r>
    </w:p>
    <w:p>
      <w:r>
        <w:t xml:space="preserve">ANSWER: </w:t>
      </w:r>
      <w:r/>
      <w:r>
        <w:rPr>
          <w:b/>
          <w:u w:val="single"/>
        </w:rPr>
        <w:t>Polish</w:t>
      </w:r>
      <w:r/>
      <w:r>
        <w:t xml:space="preserve"> [</w:t>
      </w:r>
      <w:r>
        <w:t xml:space="preserve">or </w:t>
      </w:r>
      <w:r/>
      <w:r>
        <w:rPr>
          <w:b/>
          <w:u w:val="single"/>
        </w:rPr>
        <w:t>polski</w:t>
      </w:r>
      <w:r>
        <w:t xml:space="preserve">; </w:t>
      </w:r>
      <w:r>
        <w:t xml:space="preserve">or </w:t>
      </w:r>
      <w:r/>
      <w:r>
        <w:rPr>
          <w:b/>
          <w:u w:val="single"/>
        </w:rPr>
        <w:t>język polski</w:t>
      </w:r>
      <w:r>
        <w:t xml:space="preserve">; </w:t>
      </w:r>
      <w:r>
        <w:t xml:space="preserve">or </w:t>
      </w:r>
      <w:r/>
      <w:r>
        <w:rPr>
          <w:b/>
          <w:u w:val="single"/>
        </w:rPr>
        <w:t>polszczyzna</w:t>
      </w:r>
      <w:r>
        <w:t>]</w:t>
      </w:r>
      <w:r>
        <w:t xml:space="preserve"> (Sources: </w:t>
      </w:r>
      <w:r>
        <w:rPr>
          <w:i/>
        </w:rPr>
        <w:t>Ida</w:t>
      </w:r>
      <w:r>
        <w:t xml:space="preserve">, </w:t>
      </w:r>
      <w:r>
        <w:rPr>
          <w:i/>
        </w:rPr>
        <w:t>Cold War</w:t>
      </w:r>
      <w:r>
        <w:t xml:space="preserve"> - dir. Paweł Pawlikowski</w:t>
      </w:r>
      <w:r>
        <w:t>)</w:t>
      </w:r>
    </w:p>
    <w:p>
      <w:r>
        <w:t>&lt;AP, Visual&gt;</w:t>
      </w:r>
    </w:p>
    <w:p/>
    <w:p>
      <w:r>
        <w:t xml:space="preserve">20.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12 Years a Slave</w:t>
      </w:r>
      <w:r/>
      <w:r>
        <w:t xml:space="preserve"> (dir. Steve McQueen)</w:t>
      </w:r>
    </w:p>
    <w:p>
      <w:r>
        <w:t>&lt;AP, Visual&gt;</w:t>
      </w:r>
    </w:p>
    <w:sectPr w:rsidR="00B4456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07B2B" w14:textId="77777777" w:rsidR="00CE6969" w:rsidRDefault="00CE6969">
      <w:pPr>
        <w:spacing w:line="240" w:lineRule="auto"/>
      </w:pPr>
      <w:r>
        <w:separator/>
      </w:r>
    </w:p>
  </w:endnote>
  <w:endnote w:type="continuationSeparator" w:id="0">
    <w:p w14:paraId="320BEAE9" w14:textId="77777777" w:rsidR="00CE6969" w:rsidRDefault="00CE69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EE4A9" w14:textId="77777777" w:rsidR="008B3CA9" w:rsidRDefault="008B3C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EBE84" w14:textId="77777777" w:rsidR="008B3CA9" w:rsidRDefault="008B3C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104C2" w14:textId="77777777" w:rsidR="008B3CA9" w:rsidRDefault="008B3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A0FAA" w14:textId="77777777" w:rsidR="00CE6969" w:rsidRDefault="00CE6969">
      <w:pPr>
        <w:spacing w:line="240" w:lineRule="auto"/>
      </w:pPr>
      <w:r>
        <w:separator/>
      </w:r>
    </w:p>
  </w:footnote>
  <w:footnote w:type="continuationSeparator" w:id="0">
    <w:p w14:paraId="1237064A" w14:textId="77777777" w:rsidR="00CE6969" w:rsidRDefault="00CE69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53B0D" w14:textId="77777777" w:rsidR="008B3CA9" w:rsidRDefault="008B3C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296DA" w14:textId="77777777" w:rsidR="00B44561" w:rsidRDefault="00B4456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DE34E" w14:textId="77777777" w:rsidR="008B3CA9" w:rsidRDefault="008B3C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561"/>
    <w:rsid w:val="000018AF"/>
    <w:rsid w:val="000810C8"/>
    <w:rsid w:val="000A6729"/>
    <w:rsid w:val="000B3AF4"/>
    <w:rsid w:val="001C761D"/>
    <w:rsid w:val="00292D6F"/>
    <w:rsid w:val="003F4064"/>
    <w:rsid w:val="0044559A"/>
    <w:rsid w:val="00455208"/>
    <w:rsid w:val="00476479"/>
    <w:rsid w:val="00566436"/>
    <w:rsid w:val="006306B5"/>
    <w:rsid w:val="006D6A9C"/>
    <w:rsid w:val="006E53C2"/>
    <w:rsid w:val="0073279D"/>
    <w:rsid w:val="007A567A"/>
    <w:rsid w:val="008B3CA9"/>
    <w:rsid w:val="00A84494"/>
    <w:rsid w:val="00AE043D"/>
    <w:rsid w:val="00AE6CE7"/>
    <w:rsid w:val="00B44561"/>
    <w:rsid w:val="00C148CD"/>
    <w:rsid w:val="00C311D5"/>
    <w:rsid w:val="00C43489"/>
    <w:rsid w:val="00C55630"/>
    <w:rsid w:val="00C92236"/>
    <w:rsid w:val="00CB3DC5"/>
    <w:rsid w:val="00CE6969"/>
    <w:rsid w:val="00D7177B"/>
    <w:rsid w:val="00DC5B3D"/>
    <w:rsid w:val="00E1689E"/>
    <w:rsid w:val="00E21E16"/>
    <w:rsid w:val="00EC02CE"/>
    <w:rsid w:val="00F06829"/>
    <w:rsid w:val="00F332DD"/>
    <w:rsid w:val="00F7412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EDE1E"/>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8B3CA9"/>
    <w:pPr>
      <w:tabs>
        <w:tab w:val="center" w:pos="4680"/>
        <w:tab w:val="right" w:pos="9360"/>
      </w:tabs>
      <w:spacing w:line="240" w:lineRule="auto"/>
    </w:pPr>
  </w:style>
  <w:style w:type="character" w:customStyle="1" w:styleId="HeaderChar">
    <w:name w:val="Header Char"/>
    <w:basedOn w:val="DefaultParagraphFont"/>
    <w:link w:val="Header"/>
    <w:uiPriority w:val="99"/>
    <w:rsid w:val="008B3CA9"/>
  </w:style>
  <w:style w:type="paragraph" w:styleId="Footer">
    <w:name w:val="footer"/>
    <w:basedOn w:val="Normal"/>
    <w:link w:val="FooterChar"/>
    <w:uiPriority w:val="99"/>
    <w:unhideWhenUsed/>
    <w:rsid w:val="008B3CA9"/>
    <w:pPr>
      <w:tabs>
        <w:tab w:val="center" w:pos="4680"/>
        <w:tab w:val="right" w:pos="9360"/>
      </w:tabs>
      <w:spacing w:line="240" w:lineRule="auto"/>
    </w:pPr>
  </w:style>
  <w:style w:type="character" w:customStyle="1" w:styleId="FooterChar">
    <w:name w:val="Footer Char"/>
    <w:basedOn w:val="DefaultParagraphFont"/>
    <w:link w:val="Footer"/>
    <w:uiPriority w:val="99"/>
    <w:rsid w:val="008B3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1726</Words>
  <Characters>9844</Characters>
  <Application>Microsoft Office Word</Application>
  <DocSecurity>0</DocSecurity>
  <Lines>82</Lines>
  <Paragraphs>23</Paragraphs>
  <ScaleCrop>false</ScaleCrop>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15</cp:revision>
  <dcterms:created xsi:type="dcterms:W3CDTF">2024-07-18T19:50:00Z</dcterms:created>
  <dcterms:modified xsi:type="dcterms:W3CDTF">2024-09-24T20:45:00Z</dcterms:modified>
</cp:coreProperties>
</file>