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BA0C2F"/>
          <w:sz w:val="72"/>
          <w:szCs w:val="72"/>
        </w:rPr>
        <w:t xml:space="preserve">ESSP</w:t>
      </w:r>
    </w:p>
    <w:p>
      <w:pPr>
        <w:spacing w:after="40"/>
      </w:pPr>
      <w:r>
        <w:rPr>
          <w:rFonts w:ascii="Calibri" w:cs="Calibri" w:eastAsia="Calibri" w:hAnsi="Calibri"/>
          <w:color w:val="1A1A1A"/>
          <w:sz w:val="40"/>
          <w:szCs w:val="40"/>
        </w:rPr>
        <w:t xml:space="preserve">Command Reference</w:t>
      </w:r>
    </w:p>
    <w:p>
      <w:pPr>
        <w:spacing w:after="400"/>
      </w:pPr>
      <w:r>
        <w:rPr>
          <w:rFonts w:ascii="Calibri" w:cs="Calibri" w:eastAsia="Calibri" w:hAnsi="Calibri"/>
          <w:i/>
          <w:iCs/>
          <w:color w:val="5A5A5A"/>
          <w:sz w:val="22"/>
          <w:szCs w:val="22"/>
        </w:rPr>
        <w:t xml:space="preserve">Energy data pipeline for the Energy Security Studies Program</w:t>
      </w:r>
    </w:p>
    <w:p>
      <w:pPr>
        <w:spacing w:after="120" w:before="0" w:line="276"/>
      </w:pPr>
      <w:r>
        <w:rPr>
          <w:rFonts w:ascii="Calibri" w:cs="Calibri" w:eastAsia="Calibri" w:hAnsi="Calibri"/>
          <w:color w:val="1A1A1A"/>
          <w:sz w:val="21"/>
          <w:szCs w:val="21"/>
        </w:rPr>
        <w:t xml:space="preserve">This document lists every exported command in the ESSP package, what it does, and every argument it accepts with its default value. Signatures and defaults were extracted from the installed package rather than transcribed, so they match the code exactly.</w:t>
      </w:r>
    </w:p>
    <w:p>
      <w:pPr>
        <w:spacing w:after="300" w:before="0" w:line="276"/>
      </w:pPr>
      <w:r>
        <w:rPr>
          <w:rFonts w:ascii="Calibri" w:cs="Calibri" w:eastAsia="Calibri" w:hAnsi="Calibri"/>
          <w:color w:val="1A1A1A"/>
          <w:sz w:val="21"/>
          <w:szCs w:val="21"/>
        </w:rPr>
        <w:t xml:space="preserve">Commands are grouped into the three sets the package is built around: gathering data from EIA, interpreting it, and rendering figures.</w:t>
      </w:r>
    </w:p>
    <w:p>
      <w:pPr>
        <w:pStyle w:val="Heading1"/>
        <w:spacing w:after="120" w:before="200"/>
      </w:pPr>
      <w:r>
        <w:rPr>
          <w:b/>
          <w:bCs/>
          <w:color w:val="1A1A1A"/>
          <w:sz w:val="32"/>
          <w:szCs w:val="32"/>
        </w:rPr>
        <w:t xml:space="preserve">Getting started</w:t>
      </w:r>
    </w:p>
    <w:p>
      <w:pPr>
        <w:spacing w:after="120" w:before="0" w:line="276"/>
      </w:pPr>
      <w:r>
        <w:rPr>
          <w:rFonts w:ascii="Calibri" w:cs="Calibri" w:eastAsia="Calibri" w:hAnsi="Calibri"/>
          <w:color w:val="1A1A1A"/>
          <w:sz w:val="21"/>
          <w:szCs w:val="21"/>
        </w:rPr>
        <w:t xml:space="preserve">Install from the repository root, then restart R:</w:t>
      </w:r>
    </w:p>
    <w:p>
      <w:pPr>
        <w:pBdr>
          <w:left w:val="single" w:color="BA0C2F" w:sz="12" w:space="6"/>
        </w:pBdr>
        <w:shd w:fill="F5F5F3" w:val="clear"/>
        <w:spacing w:after="100" w:before="60"/>
        <w:ind w:left="180"/>
      </w:pPr>
      <w:r>
        <w:rPr>
          <w:rFonts w:ascii="Consolas" w:cs="Consolas" w:eastAsia="Consolas" w:hAnsi="Consolas"/>
          <w:color w:val="1A1A1A"/>
          <w:sz w:val="18"/>
          <w:szCs w:val="18"/>
        </w:rPr>
        <w:t xml:space="preserve">devtools::install("essp")</w:t>
      </w:r>
    </w:p>
    <w:p>
      <w:pPr>
        <w:spacing w:after="120" w:before="0" w:line="276"/>
      </w:pPr>
      <w:r>
        <w:rPr>
          <w:rFonts w:ascii="Calibri" w:cs="Calibri" w:eastAsia="Calibri" w:hAnsi="Calibri"/>
          <w:color w:val="1A1A1A"/>
          <w:sz w:val="21"/>
          <w:szCs w:val="21"/>
        </w:rPr>
        <w:t xml:space="preserve">An EIA API key must be visible to the session. The package reads it through the eia package:</w:t>
      </w:r>
    </w:p>
    <w:p>
      <w:pPr>
        <w:pBdr>
          <w:left w:val="single" w:color="BA0C2F" w:sz="12" w:space="6"/>
        </w:pBdr>
        <w:shd w:fill="F5F5F3" w:val="clear"/>
        <w:spacing w:after="100" w:before="60"/>
        <w:ind w:left="180"/>
      </w:pPr>
      <w:r>
        <w:rPr>
          <w:rFonts w:ascii="Consolas" w:cs="Consolas" w:eastAsia="Consolas" w:hAnsi="Consolas"/>
          <w:color w:val="1A1A1A"/>
          <w:sz w:val="18"/>
          <w:szCs w:val="18"/>
        </w:rPr>
        <w:t xml:space="preserve">eia::eia_get_key()   # should return a key, not a warning</w:t>
      </w:r>
    </w:p>
    <w:p>
      <w:pPr>
        <w:spacing w:after="120" w:before="0" w:line="276"/>
      </w:pPr>
      <w:r>
        <w:rPr>
          <w:rFonts w:ascii="Calibri" w:cs="Calibri" w:eastAsia="Calibri" w:hAnsi="Calibri"/>
          <w:color w:val="1A1A1A"/>
          <w:sz w:val="21"/>
          <w:szCs w:val="21"/>
        </w:rPr>
        <w:t xml:space="preserve">If it warns, add EIA_KEY to the .Renviron that this session reads (usethis::edit_r_environ()) and restart. Note that RStudio and Rscript can resolve the home directory differently.</w:t>
      </w:r>
    </w:p>
    <w:p>
      <w:pPr>
        <w:spacing w:after="120" w:before="0" w:line="276"/>
      </w:pPr>
      <w:r>
        <w:rPr>
          <w:rFonts w:ascii="Calibri" w:cs="Calibri" w:eastAsia="Calibri" w:hAnsi="Calibri"/>
          <w:color w:val="1A1A1A"/>
          <w:sz w:val="21"/>
          <w:szCs w:val="21"/>
        </w:rPr>
        <w:t xml:space="preserve">A minimal end-to-end run:</w:t>
      </w:r>
    </w:p>
    <w:p>
      <w:pPr>
        <w:pBdr>
          <w:left w:val="single" w:color="BA0C2F" w:sz="12" w:space="6"/>
        </w:pBdr>
        <w:shd w:fill="F5F5F3" w:val="clear"/>
        <w:spacing w:after="100" w:before="60"/>
        <w:ind w:left="180"/>
      </w:pPr>
      <w:r>
        <w:rPr>
          <w:rFonts w:ascii="Consolas" w:cs="Consolas" w:eastAsia="Consolas" w:hAnsi="Consolas"/>
          <w:color w:val="1A1A1A"/>
          <w:sz w:val="18"/>
          <w:szCs w:val="18"/>
        </w:rPr>
        <w:t xml:space="preserve">library(ESSP)
mix &lt;- essp.snapshot("data/mix_us_2024.csv",
                     analyze.mix("US", 2024))
essp.save(chart.fleetmakeup(mix, highlight = "Solar"),
          "figures/fleet_makeup.png", slot = "profile")</w:t>
      </w:r>
    </w:p>
    <w:p>
      <w:pPr>
        <w:pStyle w:val="Heading2"/>
        <w:spacing w:after="100" w:before="240"/>
      </w:pPr>
      <w:r>
        <w:rPr>
          <w:b/>
          <w:bCs/>
          <w:color w:val="1A1A1A"/>
          <w:sz w:val="26"/>
          <w:szCs w:val="26"/>
        </w:rPr>
        <w:t xml:space="preserve">Figure dimensions</w:t>
      </w:r>
    </w:p>
    <w:p>
      <w:pPr>
        <w:spacing w:after="120" w:before="0" w:line="276"/>
      </w:pPr>
      <w:r>
        <w:rPr>
          <w:rFonts w:ascii="Calibri" w:cs="Calibri" w:eastAsia="Calibri" w:hAnsi="Calibri"/>
          <w:color w:val="1A1A1A"/>
          <w:sz w:val="21"/>
          <w:szCs w:val="21"/>
        </w:rPr>
        <w:t xml:space="preserve">essp.save() writes at the size the templates reserve. These match the ggsave calls in the existing per-folder scripts.</w:t>
      </w:r>
    </w:p>
    <w:tbl>
      <w:tblPr>
        <w:tblW w:type="dxa" w:w="9000"/>
        <w:tblBorders>
          <w:top w:val="single" w:color="D8D8D8" w:sz="6"/>
          <w:left w:val="none" w:color="FFFFFF" w:sz="0"/>
          <w:bottom w:val="single" w:color="D8D8D8" w:sz="6"/>
          <w:right w:val="none" w:color="FFFFFF" w:sz="0"/>
          <w:insideH w:val="single" w:color="D8D8D8" w:sz="4"/>
          <w:insideV w:val="none" w:color="FFFFFF" w:sz="0"/>
        </w:tblBorders>
      </w:tblPr>
      <w:tblGrid>
        <w:gridCol w:w="2200"/>
        <w:gridCol w:w="2200"/>
        <w:gridCol w:w="4600"/>
      </w:tblGrid>
      <w:tr>
        <w:trPr>
          <w:tblHeader/>
        </w:trPr>
        <w:tc>
          <w:tcPr>
            <w:tcW w:type="dxa" w:w="22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Slot</w:t>
            </w:r>
          </w:p>
        </w:tc>
        <w:tc>
          <w:tcPr>
            <w:tcW w:type="dxa" w:w="22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Size</w:t>
            </w:r>
          </w:p>
        </w:tc>
        <w:tc>
          <w:tcPr>
            <w:tcW w:type="dxa" w:w="46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Used for</w:t>
            </w:r>
          </w:p>
        </w:tc>
      </w:tr>
      <w:tr>
        <w:tc>
          <w:tcPr>
            <w:tcW w:type="dxa" w:w="22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profile</w:t>
            </w:r>
          </w:p>
        </w:tc>
        <w:tc>
          <w:tcPr>
            <w:tcW w:type="dxa" w:w="22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3.2 x 4.2 in</w:t>
            </w:r>
          </w:p>
        </w:tc>
        <w:tc>
          <w:tcPr>
            <w:tcW w:type="dxa" w:w="46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Small profile graphic beside the characteristics table</w:t>
            </w:r>
          </w:p>
        </w:tc>
      </w:tr>
      <w:tr>
        <w:tc>
          <w:tcPr>
            <w:tcW w:type="dxa" w:w="22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wide</w:t>
            </w:r>
          </w:p>
        </w:tc>
        <w:tc>
          <w:tcPr>
            <w:tcW w:type="dxa" w:w="22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11 x 6 in</w:t>
            </w:r>
          </w:p>
        </w:tc>
        <w:tc>
          <w:tcPr>
            <w:tcW w:type="dxa" w:w="46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Full-width figure, e.g. the demand curve</w:t>
            </w:r>
          </w:p>
        </w:tc>
      </w:tr>
      <w:tr>
        <w:tc>
          <w:tcPr>
            <w:tcW w:type="dxa" w:w="22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concept</w:t>
            </w:r>
          </w:p>
        </w:tc>
        <w:tc>
          <w:tcPr>
            <w:tcW w:type="dxa" w:w="22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10 x 6 in</w:t>
            </w:r>
          </w:p>
        </w:tc>
        <w:tc>
          <w:tcPr>
            <w:tcW w:type="dxa" w:w="46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Full-width figure in the concept briefs</w:t>
            </w:r>
          </w:p>
        </w:tc>
      </w:tr>
      <w:tr>
        <w:tc>
          <w:tcPr>
            <w:tcW w:type="dxa" w:w="22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column</w:t>
            </w:r>
          </w:p>
        </w:tc>
        <w:tc>
          <w:tcPr>
            <w:tcW w:type="dxa" w:w="22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9 x 5 in</w:t>
            </w:r>
          </w:p>
        </w:tc>
        <w:tc>
          <w:tcPr>
            <w:tcW w:type="dxa" w:w="46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Single-column time series</w:t>
            </w:r>
          </w:p>
        </w:tc>
      </w:tr>
      <w:tr>
        <w:tc>
          <w:tcPr>
            <w:tcW w:type="dxa" w:w="22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facet</w:t>
            </w:r>
          </w:p>
        </w:tc>
        <w:tc>
          <w:tcPr>
            <w:tcW w:type="dxa" w:w="22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8 x 9 in</w:t>
            </w:r>
          </w:p>
        </w:tc>
        <w:tc>
          <w:tcPr>
            <w:tcW w:type="dxa" w:w="46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Small multiples, one panel per group</w:t>
            </w:r>
          </w:p>
        </w:tc>
      </w:tr>
    </w:tbl>
    <w:p>
      <w:r>
        <w:br w:type="page"/>
      </w:r>
    </w:p>
    <w:p>
      <w:pPr>
        <w:pStyle w:val="Heading1"/>
        <w:spacing w:after="80" w:before="200"/>
      </w:pPr>
      <w:r>
        <w:rPr>
          <w:b/>
          <w:bCs/>
          <w:color w:val="BA0C2F"/>
          <w:sz w:val="32"/>
          <w:szCs w:val="32"/>
        </w:rPr>
        <w:t xml:space="preserve">Command Set 1 — Gathering</w:t>
      </w:r>
    </w:p>
    <w:p>
      <w:pPr>
        <w:spacing w:after="240" w:before="0" w:line="276"/>
      </w:pPr>
      <w:r>
        <w:rPr>
          <w:rFonts w:ascii="Calibri" w:cs="Calibri" w:eastAsia="Calibri" w:hAnsi="Calibri"/>
          <w:i/>
          <w:iCs/>
          <w:color w:val="5A5A5A"/>
          <w:sz w:val="21"/>
          <w:szCs w:val="21"/>
        </w:rPr>
        <w:t xml:space="preserve">Acquiring data from the U.S. Energy Information Administration, and freezing it so a published figure cannot drift.</w:t>
      </w:r>
    </w:p>
    <w:p>
      <w:pPr>
        <w:pStyle w:val="Heading2"/>
        <w:spacing w:after="60" w:before="280"/>
      </w:pPr>
      <w:r>
        <w:rPr>
          <w:rFonts w:ascii="Consolas" w:cs="Consolas" w:eastAsia="Consolas" w:hAnsi="Consolas"/>
          <w:b/>
          <w:bCs/>
          <w:color w:val="1A1A1A"/>
          <w:sz w:val="26"/>
          <w:szCs w:val="26"/>
        </w:rPr>
        <w:t xml:space="preserve">essp.gather</w:t>
      </w:r>
    </w:p>
    <w:p>
      <w:pPr>
        <w:spacing w:after="120" w:before="0" w:line="276"/>
      </w:pPr>
      <w:r>
        <w:rPr>
          <w:rFonts w:ascii="Calibri" w:cs="Calibri" w:eastAsia="Calibri" w:hAnsi="Calibri"/>
          <w:b/>
          <w:bCs/>
          <w:color w:val="5A5A5A"/>
          <w:sz w:val="21"/>
          <w:szCs w:val="21"/>
        </w:rPr>
        <w:t xml:space="preserve">Gather energy data from the EIA API</w:t>
      </w:r>
    </w:p>
    <w:p>
      <w:pPr>
        <w:spacing w:after="120" w:before="0" w:line="276"/>
      </w:pPr>
      <w:r>
        <w:rPr>
          <w:rFonts w:ascii="Calibri" w:cs="Calibri" w:eastAsia="Calibri" w:hAnsi="Calibri"/>
          <w:color w:val="1A1A1A"/>
          <w:sz w:val="21"/>
          <w:szCs w:val="21"/>
        </w:rPr>
        <w:t xml:space="preserve">The single entry point for data acquisition. Resolves a topic to an EIA route, requests every available measurement column, translates filters into that route's facet names, pages past the 5,000-row cap, throttles between requests, and records provenance.</w:t>
      </w:r>
    </w:p>
    <w:p>
      <w:pPr>
        <w:pBdr>
          <w:left w:val="single" w:color="BA0C2F" w:sz="12" w:space="6"/>
        </w:pBdr>
        <w:shd w:fill="F5F5F3" w:val="clear"/>
        <w:spacing w:after="100" w:before="60"/>
        <w:ind w:left="180"/>
      </w:pPr>
      <w:r>
        <w:rPr>
          <w:rFonts w:ascii="Consolas" w:cs="Consolas" w:eastAsia="Consolas" w:hAnsi="Consolas"/>
          <w:color w:val="1A1A1A"/>
          <w:sz w:val="18"/>
          <w:szCs w:val="18"/>
        </w:rPr>
        <w:t xml:space="preserve">essp.gather(
    topic,
    state = NULL,
    years = NULL,
    freq = NULL,
    ba = NULL,
    fuel = NULL,
    sector = NULL,
    columns = NULL,
    facets = NULL,
    start = NULL,
    end = NULL,
    max_rows = 250000,
    throttle = 0.3,
    cache = TRUE,
    verbose = TRUE
)</w:t>
      </w:r>
    </w:p>
    <w:tbl>
      <w:tblPr>
        <w:tblW w:type="dxa" w:w="9000"/>
        <w:tblBorders>
          <w:top w:val="single" w:color="D8D8D8" w:sz="6"/>
          <w:left w:val="none" w:color="FFFFFF" w:sz="0"/>
          <w:bottom w:val="single" w:color="D8D8D8" w:sz="6"/>
          <w:right w:val="none" w:color="FFFFFF" w:sz="0"/>
          <w:insideH w:val="single" w:color="D8D8D8" w:sz="4"/>
          <w:insideV w:val="none" w:color="FFFFFF" w:sz="0"/>
        </w:tblBorders>
      </w:tblPr>
      <w:tblGrid>
        <w:gridCol w:w="1500"/>
        <w:gridCol w:w="2200"/>
        <w:gridCol w:w="5300"/>
      </w:tblGrid>
      <w:tr>
        <w:trPr>
          <w:tblHeader/>
        </w:trPr>
        <w:tc>
          <w:tcPr>
            <w:tcW w:type="dxa" w:w="15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Argument</w:t>
            </w:r>
          </w:p>
        </w:tc>
        <w:tc>
          <w:tcPr>
            <w:tcW w:type="dxa" w:w="22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Default</w:t>
            </w:r>
          </w:p>
        </w:tc>
        <w:tc>
          <w:tcPr>
            <w:tcW w:type="dxa" w:w="53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What it controls</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topic</w:t>
            </w:r>
          </w:p>
        </w:tc>
        <w:tc>
          <w:tcPr>
            <w:tcW w:type="dxa" w:w="2200"/>
            <w:tcMar>
              <w:top w:type="dxa" w:w="60"/>
              <w:left w:type="dxa" w:w="100"/>
              <w:bottom w:type="dxa" w:w="60"/>
              <w:right w:type="dxa" w:w="100"/>
            </w:tcMar>
          </w:tcPr>
          <w:p>
            <w:pPr>
              <w:spacing w:after="120" w:before="0" w:line="276"/>
            </w:pPr>
            <w:r>
              <w:rPr>
                <w:rFonts w:ascii="Calibri" w:cs="Calibri" w:eastAsia="Calibri" w:hAnsi="Calibri"/>
                <w:i/>
                <w:iCs/>
                <w:color w:val="BA0C2F"/>
                <w:sz w:val="17"/>
                <w:szCs w:val="17"/>
              </w:rPr>
              <w:t xml:space="preserve">(required)</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A topic name, an EIA form number, or a raw route path.</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state</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NULL</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State code such as GA, a vector of them, or US for the national figure.</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years</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NULL</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Calendar years to fetch; converted to the route's own period format.</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freq</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NULL</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Frequency such as monthly, annual or hourly. Defaults to the route's own default.</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ba</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NULL</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Balancing authority code such as CISO. See essp.respondents().</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fuel</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NULL</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Fuel or energy source code.</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sector</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NULL</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EIA sector id. 99 is all sectors.</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columns</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NULL</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Measurement columns to request. Defaults to every column the route offers.</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facets</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NULL</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Additional facets as a named list, for anything without a dedicated argument.</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start</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NULL</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Period lower bound in the route's own format.</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end</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NULL</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Period upper bound in the route's own format.</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max_rows</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250000</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Stop after roughly this many rows. Guards against pulling millions by accident.</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throttle</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0.3</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Seconds to pause between paged requests, so a bulk pull does not trip EIA's rate limit.</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cache</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TRUE</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Whether to use the eia package's in-session cache.</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verbose</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TRUE</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Report progress while paging.</w:t>
            </w:r>
          </w:p>
        </w:tc>
      </w:tr>
    </w:tbl>
    <w:p>
      <w:pPr>
        <w:pStyle w:val="Heading2"/>
        <w:spacing w:after="60" w:before="280"/>
      </w:pPr>
      <w:r>
        <w:rPr>
          <w:rFonts w:ascii="Consolas" w:cs="Consolas" w:eastAsia="Consolas" w:hAnsi="Consolas"/>
          <w:b/>
          <w:bCs/>
          <w:color w:val="1A1A1A"/>
          <w:sz w:val="26"/>
          <w:szCs w:val="26"/>
        </w:rPr>
        <w:t xml:space="preserve">essp.topics</w:t>
      </w:r>
    </w:p>
    <w:p>
      <w:pPr>
        <w:spacing w:after="120" w:before="0" w:line="276"/>
      </w:pPr>
      <w:r>
        <w:rPr>
          <w:rFonts w:ascii="Calibri" w:cs="Calibri" w:eastAsia="Calibri" w:hAnsi="Calibri"/>
          <w:b/>
          <w:bCs/>
          <w:color w:val="5A5A5A"/>
          <w:sz w:val="21"/>
          <w:szCs w:val="21"/>
        </w:rPr>
        <w:t xml:space="preserve">List the topics ESSP can gather</w:t>
      </w:r>
    </w:p>
    <w:p>
      <w:pPr>
        <w:spacing w:after="120" w:before="0" w:line="276"/>
      </w:pPr>
      <w:r>
        <w:rPr>
          <w:rFonts w:ascii="Calibri" w:cs="Calibri" w:eastAsia="Calibri" w:hAnsi="Calibri"/>
          <w:color w:val="1A1A1A"/>
          <w:sz w:val="21"/>
          <w:szCs w:val="21"/>
        </w:rPr>
        <w:t xml:space="preserve">Lists what can be gathered: topic name, EIA route, source form(s), facet names, frequencies and period coverage.</w:t>
      </w:r>
    </w:p>
    <w:p>
      <w:pPr>
        <w:pBdr>
          <w:left w:val="single" w:color="BA0C2F" w:sz="12" w:space="6"/>
        </w:pBdr>
        <w:shd w:fill="F5F5F3" w:val="clear"/>
        <w:spacing w:after="100" w:before="60"/>
        <w:ind w:left="180"/>
      </w:pPr>
      <w:r>
        <w:rPr>
          <w:rFonts w:ascii="Consolas" w:cs="Consolas" w:eastAsia="Consolas" w:hAnsi="Consolas"/>
          <w:color w:val="1A1A1A"/>
          <w:sz w:val="18"/>
          <w:szCs w:val="18"/>
        </w:rPr>
        <w:t xml:space="preserve">essp.topics(topic = NULL, verified_only = FALSE)</w:t>
      </w:r>
    </w:p>
    <w:tbl>
      <w:tblPr>
        <w:tblW w:type="dxa" w:w="9000"/>
        <w:tblBorders>
          <w:top w:val="single" w:color="D8D8D8" w:sz="6"/>
          <w:left w:val="none" w:color="FFFFFF" w:sz="0"/>
          <w:bottom w:val="single" w:color="D8D8D8" w:sz="6"/>
          <w:right w:val="none" w:color="FFFFFF" w:sz="0"/>
          <w:insideH w:val="single" w:color="D8D8D8" w:sz="4"/>
          <w:insideV w:val="none" w:color="FFFFFF" w:sz="0"/>
        </w:tblBorders>
      </w:tblPr>
      <w:tblGrid>
        <w:gridCol w:w="1500"/>
        <w:gridCol w:w="2200"/>
        <w:gridCol w:w="5300"/>
      </w:tblGrid>
      <w:tr>
        <w:trPr>
          <w:tblHeader/>
        </w:trPr>
        <w:tc>
          <w:tcPr>
            <w:tcW w:type="dxa" w:w="15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Argument</w:t>
            </w:r>
          </w:p>
        </w:tc>
        <w:tc>
          <w:tcPr>
            <w:tcW w:type="dxa" w:w="22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Default</w:t>
            </w:r>
          </w:p>
        </w:tc>
        <w:tc>
          <w:tcPr>
            <w:tcW w:type="dxa" w:w="53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What it controls</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topic</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NULL</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A topic name, an EIA form number, or a raw route path.</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verified_only</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FALSE</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Return only rows checked against the live API.</w:t>
            </w:r>
          </w:p>
        </w:tc>
      </w:tr>
    </w:tbl>
    <w:p>
      <w:pPr>
        <w:pStyle w:val="Heading2"/>
        <w:spacing w:after="60" w:before="280"/>
      </w:pPr>
      <w:r>
        <w:rPr>
          <w:rFonts w:ascii="Consolas" w:cs="Consolas" w:eastAsia="Consolas" w:hAnsi="Consolas"/>
          <w:b/>
          <w:bCs/>
          <w:color w:val="1A1A1A"/>
          <w:sz w:val="26"/>
          <w:szCs w:val="26"/>
        </w:rPr>
        <w:t xml:space="preserve">essp.resolve</w:t>
      </w:r>
    </w:p>
    <w:p>
      <w:pPr>
        <w:spacing w:after="120" w:before="0" w:line="276"/>
      </w:pPr>
      <w:r>
        <w:rPr>
          <w:rFonts w:ascii="Calibri" w:cs="Calibri" w:eastAsia="Calibri" w:hAnsi="Calibri"/>
          <w:b/>
          <w:bCs/>
          <w:color w:val="5A5A5A"/>
          <w:sz w:val="21"/>
          <w:szCs w:val="21"/>
        </w:rPr>
        <w:t xml:space="preserve">Resolve a topic, form number, or route path to an API route</w:t>
      </w:r>
    </w:p>
    <w:p>
      <w:pPr>
        <w:spacing w:after="120" w:before="0" w:line="276"/>
      </w:pPr>
      <w:r>
        <w:rPr>
          <w:rFonts w:ascii="Calibri" w:cs="Calibri" w:eastAsia="Calibri" w:hAnsi="Calibri"/>
          <w:color w:val="1A1A1A"/>
          <w:sz w:val="21"/>
          <w:szCs w:val="21"/>
        </w:rPr>
        <w:t xml:space="preserve">Turns a topic name, EIA form number or route path into route rows. Errors on parent nodes and deprecated routes, which otherwise return empty or stale data with no warning.</w:t>
      </w:r>
    </w:p>
    <w:p>
      <w:pPr>
        <w:pBdr>
          <w:left w:val="single" w:color="BA0C2F" w:sz="12" w:space="6"/>
        </w:pBdr>
        <w:shd w:fill="F5F5F3" w:val="clear"/>
        <w:spacing w:after="100" w:before="60"/>
        <w:ind w:left="180"/>
      </w:pPr>
      <w:r>
        <w:rPr>
          <w:rFonts w:ascii="Consolas" w:cs="Consolas" w:eastAsia="Consolas" w:hAnsi="Consolas"/>
          <w:color w:val="1A1A1A"/>
          <w:sz w:val="18"/>
          <w:szCs w:val="18"/>
        </w:rPr>
        <w:t xml:space="preserve">essp.resolve(x)</w:t>
      </w:r>
    </w:p>
    <w:tbl>
      <w:tblPr>
        <w:tblW w:type="dxa" w:w="9000"/>
        <w:tblBorders>
          <w:top w:val="single" w:color="D8D8D8" w:sz="6"/>
          <w:left w:val="none" w:color="FFFFFF" w:sz="0"/>
          <w:bottom w:val="single" w:color="D8D8D8" w:sz="6"/>
          <w:right w:val="none" w:color="FFFFFF" w:sz="0"/>
          <w:insideH w:val="single" w:color="D8D8D8" w:sz="4"/>
          <w:insideV w:val="none" w:color="FFFFFF" w:sz="0"/>
        </w:tblBorders>
      </w:tblPr>
      <w:tblGrid>
        <w:gridCol w:w="1500"/>
        <w:gridCol w:w="2200"/>
        <w:gridCol w:w="5300"/>
      </w:tblGrid>
      <w:tr>
        <w:trPr>
          <w:tblHeader/>
        </w:trPr>
        <w:tc>
          <w:tcPr>
            <w:tcW w:type="dxa" w:w="15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Argument</w:t>
            </w:r>
          </w:p>
        </w:tc>
        <w:tc>
          <w:tcPr>
            <w:tcW w:type="dxa" w:w="22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Default</w:t>
            </w:r>
          </w:p>
        </w:tc>
        <w:tc>
          <w:tcPr>
            <w:tcW w:type="dxa" w:w="53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What it controls</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x</w:t>
            </w:r>
          </w:p>
        </w:tc>
        <w:tc>
          <w:tcPr>
            <w:tcW w:type="dxa" w:w="2200"/>
            <w:tcMar>
              <w:top w:type="dxa" w:w="60"/>
              <w:left w:type="dxa" w:w="100"/>
              <w:bottom w:type="dxa" w:w="60"/>
              <w:right w:type="dxa" w:w="100"/>
            </w:tcMar>
          </w:tcPr>
          <w:p>
            <w:pPr>
              <w:spacing w:after="120" w:before="0" w:line="276"/>
            </w:pPr>
            <w:r>
              <w:rPr>
                <w:rFonts w:ascii="Calibri" w:cs="Calibri" w:eastAsia="Calibri" w:hAnsi="Calibri"/>
                <w:i/>
                <w:iCs/>
                <w:color w:val="BA0C2F"/>
                <w:sz w:val="17"/>
                <w:szCs w:val="17"/>
              </w:rPr>
              <w:t xml:space="preserve">(required)</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Column mapped to the horizontal axis.</w:t>
            </w:r>
          </w:p>
        </w:tc>
      </w:tr>
    </w:tbl>
    <w:p>
      <w:pPr>
        <w:pStyle w:val="Heading2"/>
        <w:spacing w:after="60" w:before="280"/>
      </w:pPr>
      <w:r>
        <w:rPr>
          <w:rFonts w:ascii="Consolas" w:cs="Consolas" w:eastAsia="Consolas" w:hAnsi="Consolas"/>
          <w:b/>
          <w:bCs/>
          <w:color w:val="1A1A1A"/>
          <w:sz w:val="26"/>
          <w:szCs w:val="26"/>
        </w:rPr>
        <w:t xml:space="preserve">essp.facet</w:t>
      </w:r>
    </w:p>
    <w:p>
      <w:pPr>
        <w:spacing w:after="120" w:before="0" w:line="276"/>
      </w:pPr>
      <w:r>
        <w:rPr>
          <w:rFonts w:ascii="Calibri" w:cs="Calibri" w:eastAsia="Calibri" w:hAnsi="Calibri"/>
          <w:b/>
          <w:bCs/>
          <w:color w:val="5A5A5A"/>
          <w:sz w:val="21"/>
          <w:szCs w:val="21"/>
        </w:rPr>
        <w:t xml:space="preserve">Look up a route's name for a facet role</w:t>
      </w:r>
    </w:p>
    <w:p>
      <w:pPr>
        <w:spacing w:after="120" w:before="0" w:line="276"/>
      </w:pPr>
      <w:r>
        <w:rPr>
          <w:rFonts w:ascii="Calibri" w:cs="Calibri" w:eastAsia="Calibri" w:hAnsi="Calibri"/>
          <w:color w:val="1A1A1A"/>
          <w:sz w:val="21"/>
          <w:szCs w:val="21"/>
        </w:rPr>
        <w:t xml:space="preserve">Translates a generic role (geo, fuel, sector) into the facet name a given route actually uses. EIA has no shared vocabulary: geography is spelled stateid, stateId, location, state, respondent, duoarea or countryRegionId depending on the route.</w:t>
      </w:r>
    </w:p>
    <w:p>
      <w:pPr>
        <w:pBdr>
          <w:left w:val="single" w:color="BA0C2F" w:sz="12" w:space="6"/>
        </w:pBdr>
        <w:shd w:fill="F5F5F3" w:val="clear"/>
        <w:spacing w:after="100" w:before="60"/>
        <w:ind w:left="180"/>
      </w:pPr>
      <w:r>
        <w:rPr>
          <w:rFonts w:ascii="Consolas" w:cs="Consolas" w:eastAsia="Consolas" w:hAnsi="Consolas"/>
          <w:color w:val="1A1A1A"/>
          <w:sz w:val="18"/>
          <w:szCs w:val="18"/>
        </w:rPr>
        <w:t xml:space="preserve">essp.facet(x, role = c("geo", "fuel", "sector"))</w:t>
      </w:r>
    </w:p>
    <w:tbl>
      <w:tblPr>
        <w:tblW w:type="dxa" w:w="9000"/>
        <w:tblBorders>
          <w:top w:val="single" w:color="D8D8D8" w:sz="6"/>
          <w:left w:val="none" w:color="FFFFFF" w:sz="0"/>
          <w:bottom w:val="single" w:color="D8D8D8" w:sz="6"/>
          <w:right w:val="none" w:color="FFFFFF" w:sz="0"/>
          <w:insideH w:val="single" w:color="D8D8D8" w:sz="4"/>
          <w:insideV w:val="none" w:color="FFFFFF" w:sz="0"/>
        </w:tblBorders>
      </w:tblPr>
      <w:tblGrid>
        <w:gridCol w:w="1500"/>
        <w:gridCol w:w="2200"/>
        <w:gridCol w:w="5300"/>
      </w:tblGrid>
      <w:tr>
        <w:trPr>
          <w:tblHeader/>
        </w:trPr>
        <w:tc>
          <w:tcPr>
            <w:tcW w:type="dxa" w:w="15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Argument</w:t>
            </w:r>
          </w:p>
        </w:tc>
        <w:tc>
          <w:tcPr>
            <w:tcW w:type="dxa" w:w="22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Default</w:t>
            </w:r>
          </w:p>
        </w:tc>
        <w:tc>
          <w:tcPr>
            <w:tcW w:type="dxa" w:w="53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What it controls</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x</w:t>
            </w:r>
          </w:p>
        </w:tc>
        <w:tc>
          <w:tcPr>
            <w:tcW w:type="dxa" w:w="2200"/>
            <w:tcMar>
              <w:top w:type="dxa" w:w="60"/>
              <w:left w:type="dxa" w:w="100"/>
              <w:bottom w:type="dxa" w:w="60"/>
              <w:right w:type="dxa" w:w="100"/>
            </w:tcMar>
          </w:tcPr>
          <w:p>
            <w:pPr>
              <w:spacing w:after="120" w:before="0" w:line="276"/>
            </w:pPr>
            <w:r>
              <w:rPr>
                <w:rFonts w:ascii="Calibri" w:cs="Calibri" w:eastAsia="Calibri" w:hAnsi="Calibri"/>
                <w:i/>
                <w:iCs/>
                <w:color w:val="BA0C2F"/>
                <w:sz w:val="17"/>
                <w:szCs w:val="17"/>
              </w:rPr>
              <w:t xml:space="preserve">(required)</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Column mapped to the horizontal axis.</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role</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c("geo", "fuel", "sector")</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Which facet role to look up.</w:t>
            </w:r>
          </w:p>
        </w:tc>
      </w:tr>
    </w:tbl>
    <w:p>
      <w:pPr>
        <w:pStyle w:val="Heading2"/>
        <w:spacing w:after="60" w:before="280"/>
      </w:pPr>
      <w:r>
        <w:rPr>
          <w:rFonts w:ascii="Consolas" w:cs="Consolas" w:eastAsia="Consolas" w:hAnsi="Consolas"/>
          <w:b/>
          <w:bCs/>
          <w:color w:val="1A1A1A"/>
          <w:sz w:val="26"/>
          <w:szCs w:val="26"/>
        </w:rPr>
        <w:t xml:space="preserve">essp.respondents</w:t>
      </w:r>
    </w:p>
    <w:p>
      <w:pPr>
        <w:spacing w:after="120" w:before="0" w:line="276"/>
      </w:pPr>
      <w:r>
        <w:rPr>
          <w:rFonts w:ascii="Calibri" w:cs="Calibri" w:eastAsia="Calibri" w:hAnsi="Calibri"/>
          <w:b/>
          <w:bCs/>
          <w:color w:val="5A5A5A"/>
          <w:sz w:val="21"/>
          <w:szCs w:val="21"/>
        </w:rPr>
        <w:t xml:space="preserve">Balancing authorities and regions in the hourly data</w:t>
      </w:r>
    </w:p>
    <w:p>
      <w:pPr>
        <w:spacing w:after="120" w:before="0" w:line="276"/>
      </w:pPr>
      <w:r>
        <w:rPr>
          <w:rFonts w:ascii="Calibri" w:cs="Calibri" w:eastAsia="Calibri" w:hAnsi="Calibri"/>
          <w:color w:val="1A1A1A"/>
          <w:sz w:val="21"/>
          <w:szCs w:val="21"/>
        </w:rPr>
        <w:t xml:space="preserve">Lists hourly-data respondents and marks which are aggregate regions. Regions contain their member balancing authorities, so summing across all respondents double-counts.</w:t>
      </w:r>
    </w:p>
    <w:p>
      <w:pPr>
        <w:pBdr>
          <w:left w:val="single" w:color="BA0C2F" w:sz="12" w:space="6"/>
        </w:pBdr>
        <w:shd w:fill="F5F5F3" w:val="clear"/>
        <w:spacing w:after="100" w:before="60"/>
        <w:ind w:left="180"/>
      </w:pPr>
      <w:r>
        <w:rPr>
          <w:rFonts w:ascii="Consolas" w:cs="Consolas" w:eastAsia="Consolas" w:hAnsi="Consolas"/>
          <w:color w:val="1A1A1A"/>
          <w:sz w:val="18"/>
          <w:szCs w:val="18"/>
        </w:rPr>
        <w:t xml:space="preserve">essp.respondents(type = c("all", "ba", "region"))</w:t>
      </w:r>
    </w:p>
    <w:tbl>
      <w:tblPr>
        <w:tblW w:type="dxa" w:w="9000"/>
        <w:tblBorders>
          <w:top w:val="single" w:color="D8D8D8" w:sz="6"/>
          <w:left w:val="none" w:color="FFFFFF" w:sz="0"/>
          <w:bottom w:val="single" w:color="D8D8D8" w:sz="6"/>
          <w:right w:val="none" w:color="FFFFFF" w:sz="0"/>
          <w:insideH w:val="single" w:color="D8D8D8" w:sz="4"/>
          <w:insideV w:val="none" w:color="FFFFFF" w:sz="0"/>
        </w:tblBorders>
      </w:tblPr>
      <w:tblGrid>
        <w:gridCol w:w="1500"/>
        <w:gridCol w:w="2200"/>
        <w:gridCol w:w="5300"/>
      </w:tblGrid>
      <w:tr>
        <w:trPr>
          <w:tblHeader/>
        </w:trPr>
        <w:tc>
          <w:tcPr>
            <w:tcW w:type="dxa" w:w="15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Argument</w:t>
            </w:r>
          </w:p>
        </w:tc>
        <w:tc>
          <w:tcPr>
            <w:tcW w:type="dxa" w:w="22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Default</w:t>
            </w:r>
          </w:p>
        </w:tc>
        <w:tc>
          <w:tcPr>
            <w:tcW w:type="dxa" w:w="53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What it controls</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type</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c("all", "ba", "region")</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Which variant to return.</w:t>
            </w:r>
          </w:p>
        </w:tc>
      </w:tr>
    </w:tbl>
    <w:p>
      <w:pPr>
        <w:pStyle w:val="Heading2"/>
        <w:spacing w:after="60" w:before="280"/>
      </w:pPr>
      <w:r>
        <w:rPr>
          <w:rFonts w:ascii="Consolas" w:cs="Consolas" w:eastAsia="Consolas" w:hAnsi="Consolas"/>
          <w:b/>
          <w:bCs/>
          <w:color w:val="1A1A1A"/>
          <w:sz w:val="26"/>
          <w:szCs w:val="26"/>
        </w:rPr>
        <w:t xml:space="preserve">essp.provenance</w:t>
      </w:r>
    </w:p>
    <w:p>
      <w:pPr>
        <w:spacing w:after="120" w:before="0" w:line="276"/>
      </w:pPr>
      <w:r>
        <w:rPr>
          <w:rFonts w:ascii="Calibri" w:cs="Calibri" w:eastAsia="Calibri" w:hAnsi="Calibri"/>
          <w:b/>
          <w:bCs/>
          <w:color w:val="5A5A5A"/>
          <w:sz w:val="21"/>
          <w:szCs w:val="21"/>
        </w:rPr>
        <w:t xml:space="preserve">Read the source metadata attached to a gathered tibble</w:t>
      </w:r>
    </w:p>
    <w:p>
      <w:pPr>
        <w:spacing w:after="120" w:before="0" w:line="276"/>
      </w:pPr>
      <w:r>
        <w:rPr>
          <w:rFonts w:ascii="Calibri" w:cs="Calibri" w:eastAsia="Calibri" w:hAnsi="Calibri"/>
          <w:color w:val="1A1A1A"/>
          <w:sz w:val="21"/>
          <w:szCs w:val="21"/>
        </w:rPr>
        <w:t xml:space="preserve">Returns the source metadata attached to a gathered table: route, facets, columns, frequency, period and fetch time.</w:t>
      </w:r>
    </w:p>
    <w:p>
      <w:pPr>
        <w:pBdr>
          <w:left w:val="single" w:color="BA0C2F" w:sz="12" w:space="6"/>
        </w:pBdr>
        <w:shd w:fill="F5F5F3" w:val="clear"/>
        <w:spacing w:after="100" w:before="60"/>
        <w:ind w:left="180"/>
      </w:pPr>
      <w:r>
        <w:rPr>
          <w:rFonts w:ascii="Consolas" w:cs="Consolas" w:eastAsia="Consolas" w:hAnsi="Consolas"/>
          <w:color w:val="1A1A1A"/>
          <w:sz w:val="18"/>
          <w:szCs w:val="18"/>
        </w:rPr>
        <w:t xml:space="preserve">essp.provenance(data)</w:t>
      </w:r>
    </w:p>
    <w:tbl>
      <w:tblPr>
        <w:tblW w:type="dxa" w:w="9000"/>
        <w:tblBorders>
          <w:top w:val="single" w:color="D8D8D8" w:sz="6"/>
          <w:left w:val="none" w:color="FFFFFF" w:sz="0"/>
          <w:bottom w:val="single" w:color="D8D8D8" w:sz="6"/>
          <w:right w:val="none" w:color="FFFFFF" w:sz="0"/>
          <w:insideH w:val="single" w:color="D8D8D8" w:sz="4"/>
          <w:insideV w:val="none" w:color="FFFFFF" w:sz="0"/>
        </w:tblBorders>
      </w:tblPr>
      <w:tblGrid>
        <w:gridCol w:w="1500"/>
        <w:gridCol w:w="2200"/>
        <w:gridCol w:w="5300"/>
      </w:tblGrid>
      <w:tr>
        <w:trPr>
          <w:tblHeader/>
        </w:trPr>
        <w:tc>
          <w:tcPr>
            <w:tcW w:type="dxa" w:w="15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Argument</w:t>
            </w:r>
          </w:p>
        </w:tc>
        <w:tc>
          <w:tcPr>
            <w:tcW w:type="dxa" w:w="22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Default</w:t>
            </w:r>
          </w:p>
        </w:tc>
        <w:tc>
          <w:tcPr>
            <w:tcW w:type="dxa" w:w="53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What it controls</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data</w:t>
            </w:r>
          </w:p>
        </w:tc>
        <w:tc>
          <w:tcPr>
            <w:tcW w:type="dxa" w:w="2200"/>
            <w:tcMar>
              <w:top w:type="dxa" w:w="60"/>
              <w:left w:type="dxa" w:w="100"/>
              <w:bottom w:type="dxa" w:w="60"/>
              <w:right w:type="dxa" w:w="100"/>
            </w:tcMar>
          </w:tcPr>
          <w:p>
            <w:pPr>
              <w:spacing w:after="120" w:before="0" w:line="276"/>
            </w:pPr>
            <w:r>
              <w:rPr>
                <w:rFonts w:ascii="Calibri" w:cs="Calibri" w:eastAsia="Calibri" w:hAnsi="Calibri"/>
                <w:i/>
                <w:iCs/>
                <w:color w:val="BA0C2F"/>
                <w:sz w:val="17"/>
                <w:szCs w:val="17"/>
              </w:rPr>
              <w:t xml:space="preserve">(required)</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A data frame, normally the output of the gather or analysis step named in the description.</w:t>
            </w:r>
          </w:p>
        </w:tc>
      </w:tr>
    </w:tbl>
    <w:p>
      <w:pPr>
        <w:pStyle w:val="Heading2"/>
        <w:spacing w:after="60" w:before="280"/>
      </w:pPr>
      <w:r>
        <w:rPr>
          <w:rFonts w:ascii="Consolas" w:cs="Consolas" w:eastAsia="Consolas" w:hAnsi="Consolas"/>
          <w:b/>
          <w:bCs/>
          <w:color w:val="1A1A1A"/>
          <w:sz w:val="26"/>
          <w:szCs w:val="26"/>
        </w:rPr>
        <w:t xml:space="preserve">essp.cite</w:t>
      </w:r>
    </w:p>
    <w:p>
      <w:pPr>
        <w:spacing w:after="120" w:before="0" w:line="276"/>
      </w:pPr>
      <w:r>
        <w:rPr>
          <w:rFonts w:ascii="Calibri" w:cs="Calibri" w:eastAsia="Calibri" w:hAnsi="Calibri"/>
          <w:b/>
          <w:bCs/>
          <w:color w:val="5A5A5A"/>
          <w:sz w:val="21"/>
          <w:szCs w:val="21"/>
        </w:rPr>
        <w:t xml:space="preserve">Build a bibliography entry for gathered data</w:t>
      </w:r>
    </w:p>
    <w:p>
      <w:pPr>
        <w:spacing w:after="120" w:before="0" w:line="276"/>
      </w:pPr>
      <w:r>
        <w:rPr>
          <w:rFonts w:ascii="Calibri" w:cs="Calibri" w:eastAsia="Calibri" w:hAnsi="Calibri"/>
          <w:color w:val="1A1A1A"/>
          <w:sz w:val="21"/>
          <w:szCs w:val="21"/>
        </w:rPr>
        <w:t xml:space="preserve">Builds a biblatex entry from gathered data's provenance, ready to paste into a brief's references.bib.</w:t>
      </w:r>
    </w:p>
    <w:p>
      <w:pPr>
        <w:pBdr>
          <w:left w:val="single" w:color="BA0C2F" w:sz="12" w:space="6"/>
        </w:pBdr>
        <w:shd w:fill="F5F5F3" w:val="clear"/>
        <w:spacing w:after="100" w:before="60"/>
        <w:ind w:left="180"/>
      </w:pPr>
      <w:r>
        <w:rPr>
          <w:rFonts w:ascii="Consolas" w:cs="Consolas" w:eastAsia="Consolas" w:hAnsi="Consolas"/>
          <w:color w:val="1A1A1A"/>
          <w:sz w:val="18"/>
          <w:szCs w:val="18"/>
        </w:rPr>
        <w:t xml:space="preserve">essp.cite(data, key = NULL, type = c("online", "dataset"), file = NULL)</w:t>
      </w:r>
    </w:p>
    <w:tbl>
      <w:tblPr>
        <w:tblW w:type="dxa" w:w="9000"/>
        <w:tblBorders>
          <w:top w:val="single" w:color="D8D8D8" w:sz="6"/>
          <w:left w:val="none" w:color="FFFFFF" w:sz="0"/>
          <w:bottom w:val="single" w:color="D8D8D8" w:sz="6"/>
          <w:right w:val="none" w:color="FFFFFF" w:sz="0"/>
          <w:insideH w:val="single" w:color="D8D8D8" w:sz="4"/>
          <w:insideV w:val="none" w:color="FFFFFF" w:sz="0"/>
        </w:tblBorders>
      </w:tblPr>
      <w:tblGrid>
        <w:gridCol w:w="1500"/>
        <w:gridCol w:w="2200"/>
        <w:gridCol w:w="5300"/>
      </w:tblGrid>
      <w:tr>
        <w:trPr>
          <w:tblHeader/>
        </w:trPr>
        <w:tc>
          <w:tcPr>
            <w:tcW w:type="dxa" w:w="15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Argument</w:t>
            </w:r>
          </w:p>
        </w:tc>
        <w:tc>
          <w:tcPr>
            <w:tcW w:type="dxa" w:w="22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Default</w:t>
            </w:r>
          </w:p>
        </w:tc>
        <w:tc>
          <w:tcPr>
            <w:tcW w:type="dxa" w:w="53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What it controls</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data</w:t>
            </w:r>
          </w:p>
        </w:tc>
        <w:tc>
          <w:tcPr>
            <w:tcW w:type="dxa" w:w="2200"/>
            <w:tcMar>
              <w:top w:type="dxa" w:w="60"/>
              <w:left w:type="dxa" w:w="100"/>
              <w:bottom w:type="dxa" w:w="60"/>
              <w:right w:type="dxa" w:w="100"/>
            </w:tcMar>
          </w:tcPr>
          <w:p>
            <w:pPr>
              <w:spacing w:after="120" w:before="0" w:line="276"/>
            </w:pPr>
            <w:r>
              <w:rPr>
                <w:rFonts w:ascii="Calibri" w:cs="Calibri" w:eastAsia="Calibri" w:hAnsi="Calibri"/>
                <w:i/>
                <w:iCs/>
                <w:color w:val="BA0C2F"/>
                <w:sz w:val="17"/>
                <w:szCs w:val="17"/>
              </w:rPr>
              <w:t xml:space="preserve">(required)</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A data frame, normally the output of the gather or analysis step named in the description.</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key</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NULL</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Citation key.</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type</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c("online", "dataset")</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Which variant to return.</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file</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NULL</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Optional path to write to instead of returning.</w:t>
            </w:r>
          </w:p>
        </w:tc>
      </w:tr>
    </w:tbl>
    <w:p>
      <w:pPr>
        <w:pStyle w:val="Heading2"/>
        <w:spacing w:after="60" w:before="280"/>
      </w:pPr>
      <w:r>
        <w:rPr>
          <w:rFonts w:ascii="Consolas" w:cs="Consolas" w:eastAsia="Consolas" w:hAnsi="Consolas"/>
          <w:b/>
          <w:bCs/>
          <w:color w:val="1A1A1A"/>
          <w:sz w:val="26"/>
          <w:szCs w:val="26"/>
        </w:rPr>
        <w:t xml:space="preserve">essp.snapshot</w:t>
      </w:r>
    </w:p>
    <w:p>
      <w:pPr>
        <w:spacing w:after="120" w:before="0" w:line="276"/>
      </w:pPr>
      <w:r>
        <w:rPr>
          <w:rFonts w:ascii="Calibri" w:cs="Calibri" w:eastAsia="Calibri" w:hAnsi="Calibri"/>
          <w:b/>
          <w:bCs/>
          <w:color w:val="5A5A5A"/>
          <w:sz w:val="21"/>
          <w:szCs w:val="21"/>
        </w:rPr>
        <w:t xml:space="preserve">Read a frozen snapshot, or create it on first use</w:t>
      </w:r>
    </w:p>
    <w:p>
      <w:pPr>
        <w:spacing w:after="120" w:before="0" w:line="276"/>
      </w:pPr>
      <w:r>
        <w:rPr>
          <w:rFonts w:ascii="Calibri" w:cs="Calibri" w:eastAsia="Calibri" w:hAnsi="Calibri"/>
          <w:color w:val="1A1A1A"/>
          <w:sz w:val="21"/>
          <w:szCs w:val="21"/>
        </w:rPr>
        <w:t xml:space="preserve">Reads a frozen CSV if it exists; otherwise evaluates the expression, writes the CSV plus a provenance sidecar, and returns it. The expression is not evaluated when the snapshot exists, so a committed brief renders with no API key and no network.</w:t>
      </w:r>
    </w:p>
    <w:p>
      <w:pPr>
        <w:pBdr>
          <w:left w:val="single" w:color="BA0C2F" w:sz="12" w:space="6"/>
        </w:pBdr>
        <w:shd w:fill="F5F5F3" w:val="clear"/>
        <w:spacing w:after="100" w:before="60"/>
        <w:ind w:left="180"/>
      </w:pPr>
      <w:r>
        <w:rPr>
          <w:rFonts w:ascii="Consolas" w:cs="Consolas" w:eastAsia="Consolas" w:hAnsi="Consolas"/>
          <w:color w:val="1A1A1A"/>
          <w:sz w:val="18"/>
          <w:szCs w:val="18"/>
        </w:rPr>
        <w:t xml:space="preserve">essp.snapshot(path, expr, refresh = FALSE)</w:t>
      </w:r>
    </w:p>
    <w:tbl>
      <w:tblPr>
        <w:tblW w:type="dxa" w:w="9000"/>
        <w:tblBorders>
          <w:top w:val="single" w:color="D8D8D8" w:sz="6"/>
          <w:left w:val="none" w:color="FFFFFF" w:sz="0"/>
          <w:bottom w:val="single" w:color="D8D8D8" w:sz="6"/>
          <w:right w:val="none" w:color="FFFFFF" w:sz="0"/>
          <w:insideH w:val="single" w:color="D8D8D8" w:sz="4"/>
          <w:insideV w:val="none" w:color="FFFFFF" w:sz="0"/>
        </w:tblBorders>
      </w:tblPr>
      <w:tblGrid>
        <w:gridCol w:w="1500"/>
        <w:gridCol w:w="2200"/>
        <w:gridCol w:w="5300"/>
      </w:tblGrid>
      <w:tr>
        <w:trPr>
          <w:tblHeader/>
        </w:trPr>
        <w:tc>
          <w:tcPr>
            <w:tcW w:type="dxa" w:w="15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Argument</w:t>
            </w:r>
          </w:p>
        </w:tc>
        <w:tc>
          <w:tcPr>
            <w:tcW w:type="dxa" w:w="22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Default</w:t>
            </w:r>
          </w:p>
        </w:tc>
        <w:tc>
          <w:tcPr>
            <w:tcW w:type="dxa" w:w="53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What it controls</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path</w:t>
            </w:r>
          </w:p>
        </w:tc>
        <w:tc>
          <w:tcPr>
            <w:tcW w:type="dxa" w:w="2200"/>
            <w:tcMar>
              <w:top w:type="dxa" w:w="60"/>
              <w:left w:type="dxa" w:w="100"/>
              <w:bottom w:type="dxa" w:w="60"/>
              <w:right w:type="dxa" w:w="100"/>
            </w:tcMar>
          </w:tcPr>
          <w:p>
            <w:pPr>
              <w:spacing w:after="120" w:before="0" w:line="276"/>
            </w:pPr>
            <w:r>
              <w:rPr>
                <w:rFonts w:ascii="Calibri" w:cs="Calibri" w:eastAsia="Calibri" w:hAnsi="Calibri"/>
                <w:i/>
                <w:iCs/>
                <w:color w:val="BA0C2F"/>
                <w:sz w:val="17"/>
                <w:szCs w:val="17"/>
              </w:rPr>
              <w:t xml:space="preserve">(required)</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Output file path.</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expr</w:t>
            </w:r>
          </w:p>
        </w:tc>
        <w:tc>
          <w:tcPr>
            <w:tcW w:type="dxa" w:w="2200"/>
            <w:tcMar>
              <w:top w:type="dxa" w:w="60"/>
              <w:left w:type="dxa" w:w="100"/>
              <w:bottom w:type="dxa" w:w="60"/>
              <w:right w:type="dxa" w:w="100"/>
            </w:tcMar>
          </w:tcPr>
          <w:p>
            <w:pPr>
              <w:spacing w:after="120" w:before="0" w:line="276"/>
            </w:pPr>
            <w:r>
              <w:rPr>
                <w:rFonts w:ascii="Calibri" w:cs="Calibri" w:eastAsia="Calibri" w:hAnsi="Calibri"/>
                <w:i/>
                <w:iCs/>
                <w:color w:val="BA0C2F"/>
                <w:sz w:val="17"/>
                <w:szCs w:val="17"/>
              </w:rPr>
              <w:t xml:space="preserve">(required)</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Expression producing the data. Not evaluated if the snapshot already exists.</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refresh</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FALSE</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Force re-evaluation and overwrite the snapshot.</w:t>
            </w:r>
          </w:p>
        </w:tc>
      </w:tr>
    </w:tbl>
    <w:p>
      <w:pPr>
        <w:pStyle w:val="Heading2"/>
        <w:spacing w:after="60" w:before="280"/>
      </w:pPr>
      <w:r>
        <w:rPr>
          <w:rFonts w:ascii="Consolas" w:cs="Consolas" w:eastAsia="Consolas" w:hAnsi="Consolas"/>
          <w:b/>
          <w:bCs/>
          <w:color w:val="1A1A1A"/>
          <w:sz w:val="26"/>
          <w:szCs w:val="26"/>
        </w:rPr>
        <w:t xml:space="preserve">essp.snapshotinfo</w:t>
      </w:r>
    </w:p>
    <w:p>
      <w:pPr>
        <w:spacing w:after="120" w:before="0" w:line="276"/>
      </w:pPr>
      <w:r>
        <w:rPr>
          <w:rFonts w:ascii="Calibri" w:cs="Calibri" w:eastAsia="Calibri" w:hAnsi="Calibri"/>
          <w:b/>
          <w:bCs/>
          <w:color w:val="5A5A5A"/>
          <w:sz w:val="21"/>
          <w:szCs w:val="21"/>
        </w:rPr>
        <w:t xml:space="preserve">Describe a snapshot without reading its data</w:t>
      </w:r>
    </w:p>
    <w:p>
      <w:pPr>
        <w:spacing w:after="120" w:before="0" w:line="276"/>
      </w:pPr>
      <w:r>
        <w:rPr>
          <w:rFonts w:ascii="Calibri" w:cs="Calibri" w:eastAsia="Calibri" w:hAnsi="Calibri"/>
          <w:color w:val="1A1A1A"/>
          <w:sz w:val="21"/>
          <w:szCs w:val="21"/>
        </w:rPr>
        <w:t xml:space="preserve">Reports where a snapshot came from and when, without reading its data.</w:t>
      </w:r>
    </w:p>
    <w:p>
      <w:pPr>
        <w:pBdr>
          <w:left w:val="single" w:color="BA0C2F" w:sz="12" w:space="6"/>
        </w:pBdr>
        <w:shd w:fill="F5F5F3" w:val="clear"/>
        <w:spacing w:after="100" w:before="60"/>
        <w:ind w:left="180"/>
      </w:pPr>
      <w:r>
        <w:rPr>
          <w:rFonts w:ascii="Consolas" w:cs="Consolas" w:eastAsia="Consolas" w:hAnsi="Consolas"/>
          <w:color w:val="1A1A1A"/>
          <w:sz w:val="18"/>
          <w:szCs w:val="18"/>
        </w:rPr>
        <w:t xml:space="preserve">essp.snapshotinfo(path)</w:t>
      </w:r>
    </w:p>
    <w:tbl>
      <w:tblPr>
        <w:tblW w:type="dxa" w:w="9000"/>
        <w:tblBorders>
          <w:top w:val="single" w:color="D8D8D8" w:sz="6"/>
          <w:left w:val="none" w:color="FFFFFF" w:sz="0"/>
          <w:bottom w:val="single" w:color="D8D8D8" w:sz="6"/>
          <w:right w:val="none" w:color="FFFFFF" w:sz="0"/>
          <w:insideH w:val="single" w:color="D8D8D8" w:sz="4"/>
          <w:insideV w:val="none" w:color="FFFFFF" w:sz="0"/>
        </w:tblBorders>
      </w:tblPr>
      <w:tblGrid>
        <w:gridCol w:w="1500"/>
        <w:gridCol w:w="2200"/>
        <w:gridCol w:w="5300"/>
      </w:tblGrid>
      <w:tr>
        <w:trPr>
          <w:tblHeader/>
        </w:trPr>
        <w:tc>
          <w:tcPr>
            <w:tcW w:type="dxa" w:w="15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Argument</w:t>
            </w:r>
          </w:p>
        </w:tc>
        <w:tc>
          <w:tcPr>
            <w:tcW w:type="dxa" w:w="22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Default</w:t>
            </w:r>
          </w:p>
        </w:tc>
        <w:tc>
          <w:tcPr>
            <w:tcW w:type="dxa" w:w="53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What it controls</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path</w:t>
            </w:r>
          </w:p>
        </w:tc>
        <w:tc>
          <w:tcPr>
            <w:tcW w:type="dxa" w:w="2200"/>
            <w:tcMar>
              <w:top w:type="dxa" w:w="60"/>
              <w:left w:type="dxa" w:w="100"/>
              <w:bottom w:type="dxa" w:w="60"/>
              <w:right w:type="dxa" w:w="100"/>
            </w:tcMar>
          </w:tcPr>
          <w:p>
            <w:pPr>
              <w:spacing w:after="120" w:before="0" w:line="276"/>
            </w:pPr>
            <w:r>
              <w:rPr>
                <w:rFonts w:ascii="Calibri" w:cs="Calibri" w:eastAsia="Calibri" w:hAnsi="Calibri"/>
                <w:i/>
                <w:iCs/>
                <w:color w:val="BA0C2F"/>
                <w:sz w:val="17"/>
                <w:szCs w:val="17"/>
              </w:rPr>
              <w:t xml:space="preserve">(required)</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Output file path.</w:t>
            </w:r>
          </w:p>
        </w:tc>
      </w:tr>
    </w:tbl>
    <w:p>
      <w:r>
        <w:br w:type="page"/>
      </w:r>
    </w:p>
    <w:p>
      <w:pPr>
        <w:pStyle w:val="Heading1"/>
        <w:spacing w:after="80" w:before="200"/>
      </w:pPr>
      <w:r>
        <w:rPr>
          <w:b/>
          <w:bCs/>
          <w:color w:val="BA0C2F"/>
          <w:sz w:val="32"/>
          <w:szCs w:val="32"/>
        </w:rPr>
        <w:t xml:space="preserve">Command Set 2 — Interpretation</w:t>
      </w:r>
    </w:p>
    <w:p>
      <w:pPr>
        <w:spacing w:after="240" w:before="0" w:line="276"/>
      </w:pPr>
      <w:r>
        <w:rPr>
          <w:rFonts w:ascii="Calibri" w:cs="Calibri" w:eastAsia="Calibri" w:hAnsi="Calibri"/>
          <w:i/>
          <w:iCs/>
          <w:color w:val="5A5A5A"/>
          <w:sz w:val="21"/>
          <w:szCs w:val="21"/>
        </w:rPr>
        <w:t xml:space="preserve">Turning raw EIA responses into the quantities a brief actually states.</w:t>
      </w:r>
    </w:p>
    <w:p>
      <w:pPr>
        <w:pStyle w:val="Heading2"/>
        <w:spacing w:after="60" w:before="280"/>
      </w:pPr>
      <w:r>
        <w:rPr>
          <w:rFonts w:ascii="Consolas" w:cs="Consolas" w:eastAsia="Consolas" w:hAnsi="Consolas"/>
          <w:b/>
          <w:bCs/>
          <w:color w:val="1A1A1A"/>
          <w:sz w:val="26"/>
          <w:szCs w:val="26"/>
        </w:rPr>
        <w:t xml:space="preserve">essp.analyze</w:t>
      </w:r>
    </w:p>
    <w:p>
      <w:pPr>
        <w:spacing w:after="120" w:before="0" w:line="276"/>
      </w:pPr>
      <w:r>
        <w:rPr>
          <w:rFonts w:ascii="Calibri" w:cs="Calibri" w:eastAsia="Calibri" w:hAnsi="Calibri"/>
          <w:b/>
          <w:bCs/>
          <w:color w:val="5A5A5A"/>
          <w:sz w:val="21"/>
          <w:szCs w:val="21"/>
        </w:rPr>
        <w:t xml:space="preserve">Make gathered data analysis-ready</w:t>
      </w:r>
    </w:p>
    <w:p>
      <w:pPr>
        <w:spacing w:after="120" w:before="0" w:line="276"/>
      </w:pPr>
      <w:r>
        <w:rPr>
          <w:rFonts w:ascii="Calibri" w:cs="Calibri" w:eastAsia="Calibri" w:hAnsi="Calibri"/>
          <w:color w:val="1A1A1A"/>
          <w:sz w:val="21"/>
          <w:szCs w:val="21"/>
        </w:rPr>
        <w:t xml:space="preserve">Makes gathered data analysis-ready: coerces measurement columns from character to numeric, derives a year column, and optionally adds shares and growth.</w:t>
      </w:r>
    </w:p>
    <w:p>
      <w:pPr>
        <w:pBdr>
          <w:left w:val="single" w:color="BA0C2F" w:sz="12" w:space="6"/>
        </w:pBdr>
        <w:shd w:fill="F5F5F3" w:val="clear"/>
        <w:spacing w:after="100" w:before="60"/>
        <w:ind w:left="180"/>
      </w:pPr>
      <w:r>
        <w:rPr>
          <w:rFonts w:ascii="Consolas" w:cs="Consolas" w:eastAsia="Consolas" w:hAnsi="Consolas"/>
          <w:color w:val="1A1A1A"/>
          <w:sz w:val="18"/>
          <w:szCs w:val="18"/>
        </w:rPr>
        <w:t xml:space="preserve">essp.analyze(data, value = NULL, by = NULL, derive = character(0), drop_units = TRUE)</w:t>
      </w:r>
    </w:p>
    <w:tbl>
      <w:tblPr>
        <w:tblW w:type="dxa" w:w="9000"/>
        <w:tblBorders>
          <w:top w:val="single" w:color="D8D8D8" w:sz="6"/>
          <w:left w:val="none" w:color="FFFFFF" w:sz="0"/>
          <w:bottom w:val="single" w:color="D8D8D8" w:sz="6"/>
          <w:right w:val="none" w:color="FFFFFF" w:sz="0"/>
          <w:insideH w:val="single" w:color="D8D8D8" w:sz="4"/>
          <w:insideV w:val="none" w:color="FFFFFF" w:sz="0"/>
        </w:tblBorders>
      </w:tblPr>
      <w:tblGrid>
        <w:gridCol w:w="1500"/>
        <w:gridCol w:w="2200"/>
        <w:gridCol w:w="5300"/>
      </w:tblGrid>
      <w:tr>
        <w:trPr>
          <w:tblHeader/>
        </w:trPr>
        <w:tc>
          <w:tcPr>
            <w:tcW w:type="dxa" w:w="15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Argument</w:t>
            </w:r>
          </w:p>
        </w:tc>
        <w:tc>
          <w:tcPr>
            <w:tcW w:type="dxa" w:w="22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Default</w:t>
            </w:r>
          </w:p>
        </w:tc>
        <w:tc>
          <w:tcPr>
            <w:tcW w:type="dxa" w:w="53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What it controls</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data</w:t>
            </w:r>
          </w:p>
        </w:tc>
        <w:tc>
          <w:tcPr>
            <w:tcW w:type="dxa" w:w="2200"/>
            <w:tcMar>
              <w:top w:type="dxa" w:w="60"/>
              <w:left w:type="dxa" w:w="100"/>
              <w:bottom w:type="dxa" w:w="60"/>
              <w:right w:type="dxa" w:w="100"/>
            </w:tcMar>
          </w:tcPr>
          <w:p>
            <w:pPr>
              <w:spacing w:after="120" w:before="0" w:line="276"/>
            </w:pPr>
            <w:r>
              <w:rPr>
                <w:rFonts w:ascii="Calibri" w:cs="Calibri" w:eastAsia="Calibri" w:hAnsi="Calibri"/>
                <w:i/>
                <w:iCs/>
                <w:color w:val="BA0C2F"/>
                <w:sz w:val="17"/>
                <w:szCs w:val="17"/>
              </w:rPr>
              <w:t xml:space="preserve">(required)</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A data frame, normally the output of the gather or analysis step named in the description.</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value</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NULL</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Name of the numeric column, as a string.</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by</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NULL</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Optional grouping.</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derive</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character(0)</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Which derived columns to add.</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drop_units</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TRUE</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Remove the -units companion columns, keeping units as an attribute.</w:t>
            </w:r>
          </w:p>
        </w:tc>
      </w:tr>
    </w:tbl>
    <w:p>
      <w:pPr>
        <w:pStyle w:val="Heading2"/>
        <w:spacing w:after="60" w:before="280"/>
      </w:pPr>
      <w:r>
        <w:rPr>
          <w:rFonts w:ascii="Consolas" w:cs="Consolas" w:eastAsia="Consolas" w:hAnsi="Consolas"/>
          <w:b/>
          <w:bCs/>
          <w:color w:val="1A1A1A"/>
          <w:sz w:val="26"/>
          <w:szCs w:val="26"/>
        </w:rPr>
        <w:t xml:space="preserve">essp.table</w:t>
      </w:r>
    </w:p>
    <w:p>
      <w:pPr>
        <w:spacing w:after="120" w:before="0" w:line="276"/>
      </w:pPr>
      <w:r>
        <w:rPr>
          <w:rFonts w:ascii="Calibri" w:cs="Calibri" w:eastAsia="Calibri" w:hAnsi="Calibri"/>
          <w:b/>
          <w:bCs/>
          <w:color w:val="5A5A5A"/>
          <w:sz w:val="21"/>
          <w:szCs w:val="21"/>
        </w:rPr>
        <w:t xml:space="preserve">Summary table from any tibble</w:t>
      </w:r>
    </w:p>
    <w:p>
      <w:pPr>
        <w:spacing w:after="120" w:before="0" w:line="276"/>
      </w:pPr>
      <w:r>
        <w:rPr>
          <w:rFonts w:ascii="Calibri" w:cs="Calibri" w:eastAsia="Calibri" w:hAnsi="Calibri"/>
          <w:color w:val="1A1A1A"/>
          <w:sz w:val="21"/>
          <w:szCs w:val="21"/>
        </w:rPr>
        <w:t xml:space="preserve">Grouped summary table with an optional share column and totals row. The plain research table, as opposed to a publication-styled one.</w:t>
      </w:r>
    </w:p>
    <w:p>
      <w:pPr>
        <w:pBdr>
          <w:left w:val="single" w:color="BA0C2F" w:sz="12" w:space="6"/>
        </w:pBdr>
        <w:shd w:fill="F5F5F3" w:val="clear"/>
        <w:spacing w:after="100" w:before="60"/>
        <w:ind w:left="180"/>
      </w:pPr>
      <w:r>
        <w:rPr>
          <w:rFonts w:ascii="Consolas" w:cs="Consolas" w:eastAsia="Consolas" w:hAnsi="Consolas"/>
          <w:color w:val="1A1A1A"/>
          <w:sz w:val="18"/>
          <w:szCs w:val="18"/>
        </w:rPr>
        <w:t xml:space="preserve">essp.table(
    data,
    rows,
    value,
    stat = c("sum", "mean", "median", "min", "max", "n"),
    share = TRUE,
    total = TRUE,
    sort = TRUE
)</w:t>
      </w:r>
    </w:p>
    <w:tbl>
      <w:tblPr>
        <w:tblW w:type="dxa" w:w="9000"/>
        <w:tblBorders>
          <w:top w:val="single" w:color="D8D8D8" w:sz="6"/>
          <w:left w:val="none" w:color="FFFFFF" w:sz="0"/>
          <w:bottom w:val="single" w:color="D8D8D8" w:sz="6"/>
          <w:right w:val="none" w:color="FFFFFF" w:sz="0"/>
          <w:insideH w:val="single" w:color="D8D8D8" w:sz="4"/>
          <w:insideV w:val="none" w:color="FFFFFF" w:sz="0"/>
        </w:tblBorders>
      </w:tblPr>
      <w:tblGrid>
        <w:gridCol w:w="1500"/>
        <w:gridCol w:w="2200"/>
        <w:gridCol w:w="5300"/>
      </w:tblGrid>
      <w:tr>
        <w:trPr>
          <w:tblHeader/>
        </w:trPr>
        <w:tc>
          <w:tcPr>
            <w:tcW w:type="dxa" w:w="15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Argument</w:t>
            </w:r>
          </w:p>
        </w:tc>
        <w:tc>
          <w:tcPr>
            <w:tcW w:type="dxa" w:w="22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Default</w:t>
            </w:r>
          </w:p>
        </w:tc>
        <w:tc>
          <w:tcPr>
            <w:tcW w:type="dxa" w:w="53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What it controls</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data</w:t>
            </w:r>
          </w:p>
        </w:tc>
        <w:tc>
          <w:tcPr>
            <w:tcW w:type="dxa" w:w="2200"/>
            <w:tcMar>
              <w:top w:type="dxa" w:w="60"/>
              <w:left w:type="dxa" w:w="100"/>
              <w:bottom w:type="dxa" w:w="60"/>
              <w:right w:type="dxa" w:w="100"/>
            </w:tcMar>
          </w:tcPr>
          <w:p>
            <w:pPr>
              <w:spacing w:after="120" w:before="0" w:line="276"/>
            </w:pPr>
            <w:r>
              <w:rPr>
                <w:rFonts w:ascii="Calibri" w:cs="Calibri" w:eastAsia="Calibri" w:hAnsi="Calibri"/>
                <w:i/>
                <w:iCs/>
                <w:color w:val="BA0C2F"/>
                <w:sz w:val="17"/>
                <w:szCs w:val="17"/>
              </w:rPr>
              <w:t xml:space="preserve">(required)</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A data frame, normally the output of the gather or analysis step named in the description.</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rows</w:t>
            </w:r>
          </w:p>
        </w:tc>
        <w:tc>
          <w:tcPr>
            <w:tcW w:type="dxa" w:w="2200"/>
            <w:tcMar>
              <w:top w:type="dxa" w:w="60"/>
              <w:left w:type="dxa" w:w="100"/>
              <w:bottom w:type="dxa" w:w="60"/>
              <w:right w:type="dxa" w:w="100"/>
            </w:tcMar>
          </w:tcPr>
          <w:p>
            <w:pPr>
              <w:spacing w:after="120" w:before="0" w:line="276"/>
            </w:pPr>
            <w:r>
              <w:rPr>
                <w:rFonts w:ascii="Calibri" w:cs="Calibri" w:eastAsia="Calibri" w:hAnsi="Calibri"/>
                <w:i/>
                <w:iCs/>
                <w:color w:val="BA0C2F"/>
                <w:sz w:val="17"/>
                <w:szCs w:val="17"/>
              </w:rPr>
              <w:t xml:space="preserve">(required)</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Column(s) to group by.</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value</w:t>
            </w:r>
          </w:p>
        </w:tc>
        <w:tc>
          <w:tcPr>
            <w:tcW w:type="dxa" w:w="2200"/>
            <w:tcMar>
              <w:top w:type="dxa" w:w="60"/>
              <w:left w:type="dxa" w:w="100"/>
              <w:bottom w:type="dxa" w:w="60"/>
              <w:right w:type="dxa" w:w="100"/>
            </w:tcMar>
          </w:tcPr>
          <w:p>
            <w:pPr>
              <w:spacing w:after="120" w:before="0" w:line="276"/>
            </w:pPr>
            <w:r>
              <w:rPr>
                <w:rFonts w:ascii="Calibri" w:cs="Calibri" w:eastAsia="Calibri" w:hAnsi="Calibri"/>
                <w:i/>
                <w:iCs/>
                <w:color w:val="BA0C2F"/>
                <w:sz w:val="17"/>
                <w:szCs w:val="17"/>
              </w:rPr>
              <w:t xml:space="preserve">(required)</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Name of the numeric column, as a string.</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stat</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c("sum", "mean", "median", "min", "max", "n")</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Aggregation function.</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share</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TRUE</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Add each row's percentage of the total.</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total</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TRUE</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Append a totals row.</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sort</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TRUE</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Sort descending by the aggregated value.</w:t>
            </w:r>
          </w:p>
        </w:tc>
      </w:tr>
    </w:tbl>
    <w:p>
      <w:pPr>
        <w:pStyle w:val="Heading2"/>
        <w:spacing w:after="60" w:before="280"/>
      </w:pPr>
      <w:r>
        <w:rPr>
          <w:rFonts w:ascii="Consolas" w:cs="Consolas" w:eastAsia="Consolas" w:hAnsi="Consolas"/>
          <w:b/>
          <w:bCs/>
          <w:color w:val="1A1A1A"/>
          <w:sz w:val="26"/>
          <w:szCs w:val="26"/>
        </w:rPr>
        <w:t xml:space="preserve">essp.export</w:t>
      </w:r>
    </w:p>
    <w:p>
      <w:pPr>
        <w:spacing w:after="120" w:before="0" w:line="276"/>
      </w:pPr>
      <w:r>
        <w:rPr>
          <w:rFonts w:ascii="Calibri" w:cs="Calibri" w:eastAsia="Calibri" w:hAnsi="Calibri"/>
          <w:b/>
          <w:bCs/>
          <w:color w:val="5A5A5A"/>
          <w:sz w:val="21"/>
          <w:szCs w:val="21"/>
        </w:rPr>
        <w:t xml:space="preserve">Write a table to CSV, Excel, or LaTeX</w:t>
      </w:r>
    </w:p>
    <w:p>
      <w:pPr>
        <w:spacing w:after="120" w:before="0" w:line="276"/>
      </w:pPr>
      <w:r>
        <w:rPr>
          <w:rFonts w:ascii="Calibri" w:cs="Calibri" w:eastAsia="Calibri" w:hAnsi="Calibri"/>
          <w:color w:val="1A1A1A"/>
          <w:sz w:val="21"/>
          <w:szCs w:val="21"/>
        </w:rPr>
        <w:t xml:space="preserve">Writes a table to CSV, XLSX or LaTeX.</w:t>
      </w:r>
    </w:p>
    <w:p>
      <w:pPr>
        <w:pBdr>
          <w:left w:val="single" w:color="BA0C2F" w:sz="12" w:space="6"/>
        </w:pBdr>
        <w:shd w:fill="F5F5F3" w:val="clear"/>
        <w:spacing w:after="100" w:before="60"/>
        <w:ind w:left="180"/>
      </w:pPr>
      <w:r>
        <w:rPr>
          <w:rFonts w:ascii="Consolas" w:cs="Consolas" w:eastAsia="Consolas" w:hAnsi="Consolas"/>
          <w:color w:val="1A1A1A"/>
          <w:sz w:val="18"/>
          <w:szCs w:val="18"/>
        </w:rPr>
        <w:t xml:space="preserve">essp.export(data, path, format = NULL, digits = NULL)</w:t>
      </w:r>
    </w:p>
    <w:tbl>
      <w:tblPr>
        <w:tblW w:type="dxa" w:w="9000"/>
        <w:tblBorders>
          <w:top w:val="single" w:color="D8D8D8" w:sz="6"/>
          <w:left w:val="none" w:color="FFFFFF" w:sz="0"/>
          <w:bottom w:val="single" w:color="D8D8D8" w:sz="6"/>
          <w:right w:val="none" w:color="FFFFFF" w:sz="0"/>
          <w:insideH w:val="single" w:color="D8D8D8" w:sz="4"/>
          <w:insideV w:val="none" w:color="FFFFFF" w:sz="0"/>
        </w:tblBorders>
      </w:tblPr>
      <w:tblGrid>
        <w:gridCol w:w="1500"/>
        <w:gridCol w:w="2200"/>
        <w:gridCol w:w="5300"/>
      </w:tblGrid>
      <w:tr>
        <w:trPr>
          <w:tblHeader/>
        </w:trPr>
        <w:tc>
          <w:tcPr>
            <w:tcW w:type="dxa" w:w="15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Argument</w:t>
            </w:r>
          </w:p>
        </w:tc>
        <w:tc>
          <w:tcPr>
            <w:tcW w:type="dxa" w:w="22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Default</w:t>
            </w:r>
          </w:p>
        </w:tc>
        <w:tc>
          <w:tcPr>
            <w:tcW w:type="dxa" w:w="53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What it controls</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data</w:t>
            </w:r>
          </w:p>
        </w:tc>
        <w:tc>
          <w:tcPr>
            <w:tcW w:type="dxa" w:w="2200"/>
            <w:tcMar>
              <w:top w:type="dxa" w:w="60"/>
              <w:left w:type="dxa" w:w="100"/>
              <w:bottom w:type="dxa" w:w="60"/>
              <w:right w:type="dxa" w:w="100"/>
            </w:tcMar>
          </w:tcPr>
          <w:p>
            <w:pPr>
              <w:spacing w:after="120" w:before="0" w:line="276"/>
            </w:pPr>
            <w:r>
              <w:rPr>
                <w:rFonts w:ascii="Calibri" w:cs="Calibri" w:eastAsia="Calibri" w:hAnsi="Calibri"/>
                <w:i/>
                <w:iCs/>
                <w:color w:val="BA0C2F"/>
                <w:sz w:val="17"/>
                <w:szCs w:val="17"/>
              </w:rPr>
              <w:t xml:space="preserve">(required)</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A data frame, normally the output of the gather or analysis step named in the description.</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path</w:t>
            </w:r>
          </w:p>
        </w:tc>
        <w:tc>
          <w:tcPr>
            <w:tcW w:type="dxa" w:w="2200"/>
            <w:tcMar>
              <w:top w:type="dxa" w:w="60"/>
              <w:left w:type="dxa" w:w="100"/>
              <w:bottom w:type="dxa" w:w="60"/>
              <w:right w:type="dxa" w:w="100"/>
            </w:tcMar>
          </w:tcPr>
          <w:p>
            <w:pPr>
              <w:spacing w:after="120" w:before="0" w:line="276"/>
            </w:pPr>
            <w:r>
              <w:rPr>
                <w:rFonts w:ascii="Calibri" w:cs="Calibri" w:eastAsia="Calibri" w:hAnsi="Calibri"/>
                <w:i/>
                <w:iCs/>
                <w:color w:val="BA0C2F"/>
                <w:sz w:val="17"/>
                <w:szCs w:val="17"/>
              </w:rPr>
              <w:t xml:space="preserve">(required)</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Output file path.</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format</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NULL</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See the package help page.</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digits</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NULL</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Rounding applied to numeric columns.</w:t>
            </w:r>
          </w:p>
        </w:tc>
      </w:tr>
    </w:tbl>
    <w:p>
      <w:pPr>
        <w:pStyle w:val="Heading2"/>
        <w:spacing w:after="60" w:before="280"/>
      </w:pPr>
      <w:r>
        <w:rPr>
          <w:rFonts w:ascii="Consolas" w:cs="Consolas" w:eastAsia="Consolas" w:hAnsi="Consolas"/>
          <w:b/>
          <w:bCs/>
          <w:color w:val="1A1A1A"/>
          <w:sz w:val="26"/>
          <w:szCs w:val="26"/>
        </w:rPr>
        <w:t xml:space="preserve">essp.deflate</w:t>
      </w:r>
    </w:p>
    <w:p>
      <w:pPr>
        <w:spacing w:after="120" w:before="0" w:line="276"/>
      </w:pPr>
      <w:r>
        <w:rPr>
          <w:rFonts w:ascii="Calibri" w:cs="Calibri" w:eastAsia="Calibri" w:hAnsi="Calibri"/>
          <w:b/>
          <w:bCs/>
          <w:color w:val="5A5A5A"/>
          <w:sz w:val="21"/>
          <w:szCs w:val="21"/>
        </w:rPr>
        <w:t xml:space="preserve">Convert nominal dollars to real dollars</w:t>
      </w:r>
    </w:p>
    <w:p>
      <w:pPr>
        <w:spacing w:after="120" w:before="0" w:line="276"/>
      </w:pPr>
      <w:r>
        <w:rPr>
          <w:rFonts w:ascii="Calibri" w:cs="Calibri" w:eastAsia="Calibri" w:hAnsi="Calibri"/>
          <w:color w:val="1A1A1A"/>
          <w:sz w:val="21"/>
          <w:szCs w:val="21"/>
        </w:rPr>
        <w:t xml:space="preserve">Converts nominal dollars to a chosen base year using a price index.</w:t>
      </w:r>
    </w:p>
    <w:p>
      <w:pPr>
        <w:pBdr>
          <w:left w:val="single" w:color="BA0C2F" w:sz="12" w:space="6"/>
        </w:pBdr>
        <w:shd w:fill="F5F5F3" w:val="clear"/>
        <w:spacing w:after="100" w:before="60"/>
        <w:ind w:left="180"/>
      </w:pPr>
      <w:r>
        <w:rPr>
          <w:rFonts w:ascii="Consolas" w:cs="Consolas" w:eastAsia="Consolas" w:hAnsi="Consolas"/>
          <w:color w:val="1A1A1A"/>
          <w:sz w:val="18"/>
          <w:szCs w:val="18"/>
        </w:rPr>
        <w:t xml:space="preserve">essp.deflate(x, year, base, index = NULL)</w:t>
      </w:r>
    </w:p>
    <w:tbl>
      <w:tblPr>
        <w:tblW w:type="dxa" w:w="9000"/>
        <w:tblBorders>
          <w:top w:val="single" w:color="D8D8D8" w:sz="6"/>
          <w:left w:val="none" w:color="FFFFFF" w:sz="0"/>
          <w:bottom w:val="single" w:color="D8D8D8" w:sz="6"/>
          <w:right w:val="none" w:color="FFFFFF" w:sz="0"/>
          <w:insideH w:val="single" w:color="D8D8D8" w:sz="4"/>
          <w:insideV w:val="none" w:color="FFFFFF" w:sz="0"/>
        </w:tblBorders>
      </w:tblPr>
      <w:tblGrid>
        <w:gridCol w:w="1500"/>
        <w:gridCol w:w="2200"/>
        <w:gridCol w:w="5300"/>
      </w:tblGrid>
      <w:tr>
        <w:trPr>
          <w:tblHeader/>
        </w:trPr>
        <w:tc>
          <w:tcPr>
            <w:tcW w:type="dxa" w:w="15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Argument</w:t>
            </w:r>
          </w:p>
        </w:tc>
        <w:tc>
          <w:tcPr>
            <w:tcW w:type="dxa" w:w="22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Default</w:t>
            </w:r>
          </w:p>
        </w:tc>
        <w:tc>
          <w:tcPr>
            <w:tcW w:type="dxa" w:w="53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What it controls</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x</w:t>
            </w:r>
          </w:p>
        </w:tc>
        <w:tc>
          <w:tcPr>
            <w:tcW w:type="dxa" w:w="2200"/>
            <w:tcMar>
              <w:top w:type="dxa" w:w="60"/>
              <w:left w:type="dxa" w:w="100"/>
              <w:bottom w:type="dxa" w:w="60"/>
              <w:right w:type="dxa" w:w="100"/>
            </w:tcMar>
          </w:tcPr>
          <w:p>
            <w:pPr>
              <w:spacing w:after="120" w:before="0" w:line="276"/>
            </w:pPr>
            <w:r>
              <w:rPr>
                <w:rFonts w:ascii="Calibri" w:cs="Calibri" w:eastAsia="Calibri" w:hAnsi="Calibri"/>
                <w:i/>
                <w:iCs/>
                <w:color w:val="BA0C2F"/>
                <w:sz w:val="17"/>
                <w:szCs w:val="17"/>
              </w:rPr>
              <w:t xml:space="preserve">(required)</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Column mapped to the horizontal axis.</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year</w:t>
            </w:r>
          </w:p>
        </w:tc>
        <w:tc>
          <w:tcPr>
            <w:tcW w:type="dxa" w:w="2200"/>
            <w:tcMar>
              <w:top w:type="dxa" w:w="60"/>
              <w:left w:type="dxa" w:w="100"/>
              <w:bottom w:type="dxa" w:w="60"/>
              <w:right w:type="dxa" w:w="100"/>
            </w:tcMar>
          </w:tcPr>
          <w:p>
            <w:pPr>
              <w:spacing w:after="120" w:before="0" w:line="276"/>
            </w:pPr>
            <w:r>
              <w:rPr>
                <w:rFonts w:ascii="Calibri" w:cs="Calibri" w:eastAsia="Calibri" w:hAnsi="Calibri"/>
                <w:i/>
                <w:iCs/>
                <w:color w:val="BA0C2F"/>
                <w:sz w:val="17"/>
                <w:szCs w:val="17"/>
              </w:rPr>
              <w:t xml:space="preserve">(required)</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Calendar year.</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base</w:t>
            </w:r>
          </w:p>
        </w:tc>
        <w:tc>
          <w:tcPr>
            <w:tcW w:type="dxa" w:w="2200"/>
            <w:tcMar>
              <w:top w:type="dxa" w:w="60"/>
              <w:left w:type="dxa" w:w="100"/>
              <w:bottom w:type="dxa" w:w="60"/>
              <w:right w:type="dxa" w:w="100"/>
            </w:tcMar>
          </w:tcPr>
          <w:p>
            <w:pPr>
              <w:spacing w:after="120" w:before="0" w:line="276"/>
            </w:pPr>
            <w:r>
              <w:rPr>
                <w:rFonts w:ascii="Calibri" w:cs="Calibri" w:eastAsia="Calibri" w:hAnsi="Calibri"/>
                <w:i/>
                <w:iCs/>
                <w:color w:val="BA0C2F"/>
                <w:sz w:val="17"/>
                <w:szCs w:val="17"/>
              </w:rPr>
              <w:t xml:space="preserve">(required)</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Base year the real series is expressed in.</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index</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NULL</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Price index; defaults to essp.cpi().</w:t>
            </w:r>
          </w:p>
        </w:tc>
      </w:tr>
    </w:tbl>
    <w:p>
      <w:pPr>
        <w:pStyle w:val="Heading2"/>
        <w:spacing w:after="60" w:before="280"/>
      </w:pPr>
      <w:r>
        <w:rPr>
          <w:rFonts w:ascii="Consolas" w:cs="Consolas" w:eastAsia="Consolas" w:hAnsi="Consolas"/>
          <w:b/>
          <w:bCs/>
          <w:color w:val="1A1A1A"/>
          <w:sz w:val="26"/>
          <w:szCs w:val="26"/>
        </w:rPr>
        <w:t xml:space="preserve">essp.cpi</w:t>
      </w:r>
    </w:p>
    <w:p>
      <w:pPr>
        <w:spacing w:after="120" w:before="0" w:line="276"/>
      </w:pPr>
      <w:r>
        <w:rPr>
          <w:rFonts w:ascii="Calibri" w:cs="Calibri" w:eastAsia="Calibri" w:hAnsi="Calibri"/>
          <w:b/>
          <w:bCs/>
          <w:color w:val="5A5A5A"/>
          <w:sz w:val="21"/>
          <w:szCs w:val="21"/>
        </w:rPr>
        <w:t xml:space="preserve">Consumer Price Index (urban), annual</w:t>
      </w:r>
    </w:p>
    <w:p>
      <w:pPr>
        <w:spacing w:after="120" w:before="0" w:line="276"/>
      </w:pPr>
      <w:r>
        <w:rPr>
          <w:rFonts w:ascii="Calibri" w:cs="Calibri" w:eastAsia="Calibri" w:hAnsi="Calibri"/>
          <w:color w:val="1A1A1A"/>
          <w:sz w:val="21"/>
          <w:szCs w:val="21"/>
        </w:rPr>
        <w:t xml:space="preserve">Fetches CPI-U from EIA's own Monthly Energy Review rather than carrying a hardcoded table that would go stale.</w:t>
      </w:r>
    </w:p>
    <w:p>
      <w:pPr>
        <w:pBdr>
          <w:left w:val="single" w:color="BA0C2F" w:sz="12" w:space="6"/>
        </w:pBdr>
        <w:shd w:fill="F5F5F3" w:val="clear"/>
        <w:spacing w:after="100" w:before="60"/>
        <w:ind w:left="180"/>
      </w:pPr>
      <w:r>
        <w:rPr>
          <w:rFonts w:ascii="Consolas" w:cs="Consolas" w:eastAsia="Consolas" w:hAnsi="Consolas"/>
          <w:color w:val="1A1A1A"/>
          <w:sz w:val="18"/>
          <w:szCs w:val="18"/>
        </w:rPr>
        <w:t xml:space="preserve">essp.cpi(years = NULL)</w:t>
      </w:r>
    </w:p>
    <w:tbl>
      <w:tblPr>
        <w:tblW w:type="dxa" w:w="9000"/>
        <w:tblBorders>
          <w:top w:val="single" w:color="D8D8D8" w:sz="6"/>
          <w:left w:val="none" w:color="FFFFFF" w:sz="0"/>
          <w:bottom w:val="single" w:color="D8D8D8" w:sz="6"/>
          <w:right w:val="none" w:color="FFFFFF" w:sz="0"/>
          <w:insideH w:val="single" w:color="D8D8D8" w:sz="4"/>
          <w:insideV w:val="none" w:color="FFFFFF" w:sz="0"/>
        </w:tblBorders>
      </w:tblPr>
      <w:tblGrid>
        <w:gridCol w:w="1500"/>
        <w:gridCol w:w="2200"/>
        <w:gridCol w:w="5300"/>
      </w:tblGrid>
      <w:tr>
        <w:trPr>
          <w:tblHeader/>
        </w:trPr>
        <w:tc>
          <w:tcPr>
            <w:tcW w:type="dxa" w:w="15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Argument</w:t>
            </w:r>
          </w:p>
        </w:tc>
        <w:tc>
          <w:tcPr>
            <w:tcW w:type="dxa" w:w="22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Default</w:t>
            </w:r>
          </w:p>
        </w:tc>
        <w:tc>
          <w:tcPr>
            <w:tcW w:type="dxa" w:w="53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What it controls</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years</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NULL</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Calendar years to fetch; converted to the route's own period format.</w:t>
            </w:r>
          </w:p>
        </w:tc>
      </w:tr>
    </w:tbl>
    <w:p>
      <w:pPr>
        <w:pStyle w:val="Heading2"/>
        <w:spacing w:after="60" w:before="280"/>
      </w:pPr>
      <w:r>
        <w:rPr>
          <w:rFonts w:ascii="Consolas" w:cs="Consolas" w:eastAsia="Consolas" w:hAnsi="Consolas"/>
          <w:b/>
          <w:bCs/>
          <w:color w:val="1A1A1A"/>
          <w:sz w:val="26"/>
          <w:szCs w:val="26"/>
        </w:rPr>
        <w:t xml:space="preserve">essp.fuelgroups</w:t>
      </w:r>
    </w:p>
    <w:p>
      <w:pPr>
        <w:spacing w:after="120" w:before="0" w:line="276"/>
      </w:pPr>
      <w:r>
        <w:rPr>
          <w:rFonts w:ascii="Calibri" w:cs="Calibri" w:eastAsia="Calibri" w:hAnsi="Calibri"/>
          <w:b/>
          <w:bCs/>
          <w:color w:val="5A5A5A"/>
          <w:sz w:val="21"/>
          <w:szCs w:val="21"/>
        </w:rPr>
        <w:t xml:space="preserve">Resource groupings used by the mix analyses</w:t>
      </w:r>
    </w:p>
    <w:p>
      <w:pPr>
        <w:spacing w:after="120" w:before="0" w:line="276"/>
      </w:pPr>
      <w:r>
        <w:rPr>
          <w:rFonts w:ascii="Calibri" w:cs="Calibri" w:eastAsia="Calibri" w:hAnsi="Calibri"/>
          <w:color w:val="1A1A1A"/>
          <w:sz w:val="21"/>
          <w:szCs w:val="21"/>
        </w:rPr>
        <w:t xml:space="preserve">The seven resource groupings used by the mix analyses, and the EIA codes that roll up into each on the capacity and generation sides.</w:t>
      </w:r>
    </w:p>
    <w:p>
      <w:pPr>
        <w:pBdr>
          <w:left w:val="single" w:color="BA0C2F" w:sz="12" w:space="6"/>
        </w:pBdr>
        <w:shd w:fill="F5F5F3" w:val="clear"/>
        <w:spacing w:after="100" w:before="60"/>
        <w:ind w:left="180"/>
      </w:pPr>
      <w:r>
        <w:rPr>
          <w:rFonts w:ascii="Consolas" w:cs="Consolas" w:eastAsia="Consolas" w:hAnsi="Consolas"/>
          <w:color w:val="1A1A1A"/>
          <w:sz w:val="18"/>
          <w:szCs w:val="18"/>
        </w:rPr>
        <w:t xml:space="preserve">essp.fuelgroups(solar = c("utility", "total"))</w:t>
      </w:r>
    </w:p>
    <w:tbl>
      <w:tblPr>
        <w:tblW w:type="dxa" w:w="9000"/>
        <w:tblBorders>
          <w:top w:val="single" w:color="D8D8D8" w:sz="6"/>
          <w:left w:val="none" w:color="FFFFFF" w:sz="0"/>
          <w:bottom w:val="single" w:color="D8D8D8" w:sz="6"/>
          <w:right w:val="none" w:color="FFFFFF" w:sz="0"/>
          <w:insideH w:val="single" w:color="D8D8D8" w:sz="4"/>
          <w:insideV w:val="none" w:color="FFFFFF" w:sz="0"/>
        </w:tblBorders>
      </w:tblPr>
      <w:tblGrid>
        <w:gridCol w:w="1500"/>
        <w:gridCol w:w="2200"/>
        <w:gridCol w:w="5300"/>
      </w:tblGrid>
      <w:tr>
        <w:trPr>
          <w:tblHeader/>
        </w:trPr>
        <w:tc>
          <w:tcPr>
            <w:tcW w:type="dxa" w:w="15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Argument</w:t>
            </w:r>
          </w:p>
        </w:tc>
        <w:tc>
          <w:tcPr>
            <w:tcW w:type="dxa" w:w="22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Default</w:t>
            </w:r>
          </w:p>
        </w:tc>
        <w:tc>
          <w:tcPr>
            <w:tcW w:type="dxa" w:w="53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What it controls</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solar</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c("utility", "total")</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utility counts only utility-scale solar; total adds estimated small-scale distributed PV, which capacity data cannot match.</w:t>
            </w:r>
          </w:p>
        </w:tc>
      </w:tr>
    </w:tbl>
    <w:p>
      <w:pPr>
        <w:pStyle w:val="Heading2"/>
        <w:spacing w:after="60" w:before="280"/>
      </w:pPr>
      <w:r>
        <w:rPr>
          <w:rFonts w:ascii="Consolas" w:cs="Consolas" w:eastAsia="Consolas" w:hAnsi="Consolas"/>
          <w:b/>
          <w:bCs/>
          <w:color w:val="1A1A1A"/>
          <w:sz w:val="26"/>
          <w:szCs w:val="26"/>
        </w:rPr>
        <w:t xml:space="preserve">essp.gasgroups</w:t>
      </w:r>
    </w:p>
    <w:p>
      <w:pPr>
        <w:spacing w:after="120" w:before="0" w:line="276"/>
      </w:pPr>
      <w:r>
        <w:rPr>
          <w:rFonts w:ascii="Calibri" w:cs="Calibri" w:eastAsia="Calibri" w:hAnsi="Calibri"/>
          <w:b/>
          <w:bCs/>
          <w:color w:val="5A5A5A"/>
          <w:sz w:val="21"/>
          <w:szCs w:val="21"/>
        </w:rPr>
        <w:t xml:space="preserve">Natural gas prime-mover groups</w:t>
      </w:r>
    </w:p>
    <w:p>
      <w:pPr>
        <w:spacing w:after="120" w:before="0" w:line="276"/>
      </w:pPr>
      <w:r>
        <w:rPr>
          <w:rFonts w:ascii="Calibri" w:cs="Calibri" w:eastAsia="Calibri" w:hAnsi="Calibri"/>
          <w:color w:val="1A1A1A"/>
          <w:sz w:val="21"/>
          <w:szCs w:val="21"/>
        </w:rPr>
        <w:t xml:space="preserve">Maps EIA prime-mover codes to plant types. CA, CT and CS are combined cycle; GT and IC are the actual peaking fleet. CT is the combustion-turbine part of a combined-cycle plant, not a peaker.</w:t>
      </w:r>
    </w:p>
    <w:p>
      <w:pPr>
        <w:pBdr>
          <w:left w:val="single" w:color="BA0C2F" w:sz="12" w:space="6"/>
        </w:pBdr>
        <w:shd w:fill="F5F5F3" w:val="clear"/>
        <w:spacing w:after="100" w:before="60"/>
        <w:ind w:left="180"/>
      </w:pPr>
      <w:r>
        <w:rPr>
          <w:rFonts w:ascii="Consolas" w:cs="Consolas" w:eastAsia="Consolas" w:hAnsi="Consolas"/>
          <w:color w:val="1A1A1A"/>
          <w:sz w:val="18"/>
          <w:szCs w:val="18"/>
        </w:rPr>
        <w:t xml:space="preserve">essp.gasgroups()</w:t>
      </w:r>
    </w:p>
    <w:p>
      <w:pPr>
        <w:spacing w:after="120" w:before="0" w:line="276"/>
      </w:pPr>
      <w:r>
        <w:rPr>
          <w:rFonts w:ascii="Calibri" w:cs="Calibri" w:eastAsia="Calibri" w:hAnsi="Calibri"/>
          <w:i/>
          <w:iCs/>
          <w:color w:val="5A5A5A"/>
          <w:sz w:val="20"/>
          <w:szCs w:val="20"/>
        </w:rPr>
        <w:t xml:space="preserve">Takes no arguments.</w:t>
      </w:r>
    </w:p>
    <w:p>
      <w:pPr>
        <w:pStyle w:val="Heading2"/>
        <w:spacing w:after="60" w:before="280"/>
      </w:pPr>
      <w:r>
        <w:rPr>
          <w:rFonts w:ascii="Consolas" w:cs="Consolas" w:eastAsia="Consolas" w:hAnsi="Consolas"/>
          <w:b/>
          <w:bCs/>
          <w:color w:val="1A1A1A"/>
          <w:sz w:val="26"/>
          <w:szCs w:val="26"/>
        </w:rPr>
        <w:t xml:space="preserve">analyze.mix</w:t>
      </w:r>
    </w:p>
    <w:p>
      <w:pPr>
        <w:spacing w:after="120" w:before="0" w:line="276"/>
      </w:pPr>
      <w:r>
        <w:rPr>
          <w:rFonts w:ascii="Calibri" w:cs="Calibri" w:eastAsia="Calibri" w:hAnsi="Calibri"/>
          <w:b/>
          <w:bCs/>
          <w:color w:val="5A5A5A"/>
          <w:sz w:val="21"/>
          <w:szCs w:val="21"/>
        </w:rPr>
        <w:t xml:space="preserve">Capacity and generation mix, aligned</w:t>
      </w:r>
    </w:p>
    <w:p>
      <w:pPr>
        <w:spacing w:after="120" w:before="0" w:line="276"/>
      </w:pPr>
      <w:r>
        <w:rPr>
          <w:rFonts w:ascii="Calibri" w:cs="Calibri" w:eastAsia="Calibri" w:hAnsi="Calibri"/>
          <w:color w:val="1A1A1A"/>
          <w:sz w:val="21"/>
          <w:szCs w:val="21"/>
        </w:rPr>
        <w:t xml:space="preserve">Capacity and generation aligned into the two-metric shape the fleet-makeup figure consumes, each summing to 100 percent.</w:t>
      </w:r>
    </w:p>
    <w:p>
      <w:pPr>
        <w:pBdr>
          <w:left w:val="single" w:color="BA0C2F" w:sz="12" w:space="6"/>
        </w:pBdr>
        <w:shd w:fill="F5F5F3" w:val="clear"/>
        <w:spacing w:after="100" w:before="60"/>
        <w:ind w:left="180"/>
      </w:pPr>
      <w:r>
        <w:rPr>
          <w:rFonts w:ascii="Consolas" w:cs="Consolas" w:eastAsia="Consolas" w:hAnsi="Consolas"/>
          <w:color w:val="1A1A1A"/>
          <w:sz w:val="18"/>
          <w:szCs w:val="18"/>
        </w:rPr>
        <w:t xml:space="preserve">analyze.mix(
    state = "US",
    year,
    month = 12,
    basis = c("nameplate", "summer", "winter"),
    status = "OP",
    sector = "99",
    solar = c("utility", "total"),
    groups = NULL
)</w:t>
      </w:r>
    </w:p>
    <w:tbl>
      <w:tblPr>
        <w:tblW w:type="dxa" w:w="9000"/>
        <w:tblBorders>
          <w:top w:val="single" w:color="D8D8D8" w:sz="6"/>
          <w:left w:val="none" w:color="FFFFFF" w:sz="0"/>
          <w:bottom w:val="single" w:color="D8D8D8" w:sz="6"/>
          <w:right w:val="none" w:color="FFFFFF" w:sz="0"/>
          <w:insideH w:val="single" w:color="D8D8D8" w:sz="4"/>
          <w:insideV w:val="none" w:color="FFFFFF" w:sz="0"/>
        </w:tblBorders>
      </w:tblPr>
      <w:tblGrid>
        <w:gridCol w:w="1500"/>
        <w:gridCol w:w="2200"/>
        <w:gridCol w:w="5300"/>
      </w:tblGrid>
      <w:tr>
        <w:trPr>
          <w:tblHeader/>
        </w:trPr>
        <w:tc>
          <w:tcPr>
            <w:tcW w:type="dxa" w:w="15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Argument</w:t>
            </w:r>
          </w:p>
        </w:tc>
        <w:tc>
          <w:tcPr>
            <w:tcW w:type="dxa" w:w="22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Default</w:t>
            </w:r>
          </w:p>
        </w:tc>
        <w:tc>
          <w:tcPr>
            <w:tcW w:type="dxa" w:w="53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What it controls</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state</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"US"</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State code such as GA, a vector of them, or US for the national figure.</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year</w:t>
            </w:r>
          </w:p>
        </w:tc>
        <w:tc>
          <w:tcPr>
            <w:tcW w:type="dxa" w:w="2200"/>
            <w:tcMar>
              <w:top w:type="dxa" w:w="60"/>
              <w:left w:type="dxa" w:w="100"/>
              <w:bottom w:type="dxa" w:w="60"/>
              <w:right w:type="dxa" w:w="100"/>
            </w:tcMar>
          </w:tcPr>
          <w:p>
            <w:pPr>
              <w:spacing w:after="120" w:before="0" w:line="276"/>
            </w:pPr>
            <w:r>
              <w:rPr>
                <w:rFonts w:ascii="Calibri" w:cs="Calibri" w:eastAsia="Calibri" w:hAnsi="Calibri"/>
                <w:i/>
                <w:iCs/>
                <w:color w:val="BA0C2F"/>
                <w:sz w:val="17"/>
                <w:szCs w:val="17"/>
              </w:rPr>
              <w:t xml:space="preserve">(required)</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Calendar year.</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month</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12</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Month of the inventory snapshot, 1-12. Defaults to December.</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basis</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c("nameplate", "summer", "winter")</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Capacity basis: nameplate, net summer or net winter. EIA's published capacity factors use summer.</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status</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"OP"</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Generator operating status codes to include. OP is operating.</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sector</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"99"</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EIA sector id. 99 is all sectors.</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solar</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c("utility", "total")</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utility counts only utility-scale solar; total adds estimated small-scale distributed PV, which capacity data cannot match.</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groups</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NULL</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Resource groupings; defaults to essp.fuelgroups().</w:t>
            </w:r>
          </w:p>
        </w:tc>
      </w:tr>
    </w:tbl>
    <w:p>
      <w:pPr>
        <w:pStyle w:val="Heading2"/>
        <w:spacing w:after="60" w:before="280"/>
      </w:pPr>
      <w:r>
        <w:rPr>
          <w:rFonts w:ascii="Consolas" w:cs="Consolas" w:eastAsia="Consolas" w:hAnsi="Consolas"/>
          <w:b/>
          <w:bCs/>
          <w:color w:val="1A1A1A"/>
          <w:sz w:val="26"/>
          <w:szCs w:val="26"/>
        </w:rPr>
        <w:t xml:space="preserve">analyze.capacity</w:t>
      </w:r>
    </w:p>
    <w:p>
      <w:pPr>
        <w:spacing w:after="120" w:before="0" w:line="276"/>
      </w:pPr>
      <w:r>
        <w:rPr>
          <w:rFonts w:ascii="Calibri" w:cs="Calibri" w:eastAsia="Calibri" w:hAnsi="Calibri"/>
          <w:b/>
          <w:bCs/>
          <w:color w:val="5A5A5A"/>
          <w:sz w:val="21"/>
          <w:szCs w:val="21"/>
        </w:rPr>
        <w:t xml:space="preserve">Installed capacity by resource</w:t>
      </w:r>
    </w:p>
    <w:p>
      <w:pPr>
        <w:spacing w:after="120" w:before="0" w:line="276"/>
      </w:pPr>
      <w:r>
        <w:rPr>
          <w:rFonts w:ascii="Calibri" w:cs="Calibri" w:eastAsia="Calibri" w:hAnsi="Calibri"/>
          <w:color w:val="1A1A1A"/>
          <w:sz w:val="21"/>
          <w:szCs w:val="21"/>
        </w:rPr>
        <w:t xml:space="preserve">Installed capacity by resource from one Form 860 monthly snapshot. The inventory is a snapshot, not a flow, so summing twelve months would multiply the fleet by twelve.</w:t>
      </w:r>
    </w:p>
    <w:p>
      <w:pPr>
        <w:pBdr>
          <w:left w:val="single" w:color="BA0C2F" w:sz="12" w:space="6"/>
        </w:pBdr>
        <w:shd w:fill="F5F5F3" w:val="clear"/>
        <w:spacing w:after="100" w:before="60"/>
        <w:ind w:left="180"/>
      </w:pPr>
      <w:r>
        <w:rPr>
          <w:rFonts w:ascii="Consolas" w:cs="Consolas" w:eastAsia="Consolas" w:hAnsi="Consolas"/>
          <w:color w:val="1A1A1A"/>
          <w:sz w:val="18"/>
          <w:szCs w:val="18"/>
        </w:rPr>
        <w:t xml:space="preserve">analyze.capacity(
    state = "US",
    year,
    month = 12,
    basis = c("nameplate", "summer", "winter"),
    status = "OP",
    solar = c("utility", "total"),
    groups = NULL
)</w:t>
      </w:r>
    </w:p>
    <w:tbl>
      <w:tblPr>
        <w:tblW w:type="dxa" w:w="9000"/>
        <w:tblBorders>
          <w:top w:val="single" w:color="D8D8D8" w:sz="6"/>
          <w:left w:val="none" w:color="FFFFFF" w:sz="0"/>
          <w:bottom w:val="single" w:color="D8D8D8" w:sz="6"/>
          <w:right w:val="none" w:color="FFFFFF" w:sz="0"/>
          <w:insideH w:val="single" w:color="D8D8D8" w:sz="4"/>
          <w:insideV w:val="none" w:color="FFFFFF" w:sz="0"/>
        </w:tblBorders>
      </w:tblPr>
      <w:tblGrid>
        <w:gridCol w:w="1500"/>
        <w:gridCol w:w="2200"/>
        <w:gridCol w:w="5300"/>
      </w:tblGrid>
      <w:tr>
        <w:trPr>
          <w:tblHeader/>
        </w:trPr>
        <w:tc>
          <w:tcPr>
            <w:tcW w:type="dxa" w:w="15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Argument</w:t>
            </w:r>
          </w:p>
        </w:tc>
        <w:tc>
          <w:tcPr>
            <w:tcW w:type="dxa" w:w="22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Default</w:t>
            </w:r>
          </w:p>
        </w:tc>
        <w:tc>
          <w:tcPr>
            <w:tcW w:type="dxa" w:w="53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What it controls</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state</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"US"</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State code such as GA, a vector of them, or US for the national figure.</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year</w:t>
            </w:r>
          </w:p>
        </w:tc>
        <w:tc>
          <w:tcPr>
            <w:tcW w:type="dxa" w:w="2200"/>
            <w:tcMar>
              <w:top w:type="dxa" w:w="60"/>
              <w:left w:type="dxa" w:w="100"/>
              <w:bottom w:type="dxa" w:w="60"/>
              <w:right w:type="dxa" w:w="100"/>
            </w:tcMar>
          </w:tcPr>
          <w:p>
            <w:pPr>
              <w:spacing w:after="120" w:before="0" w:line="276"/>
            </w:pPr>
            <w:r>
              <w:rPr>
                <w:rFonts w:ascii="Calibri" w:cs="Calibri" w:eastAsia="Calibri" w:hAnsi="Calibri"/>
                <w:i/>
                <w:iCs/>
                <w:color w:val="BA0C2F"/>
                <w:sz w:val="17"/>
                <w:szCs w:val="17"/>
              </w:rPr>
              <w:t xml:space="preserve">(required)</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Calendar year.</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month</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12</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Month of the inventory snapshot, 1-12. Defaults to December.</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basis</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c("nameplate", "summer", "winter")</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Capacity basis: nameplate, net summer or net winter. EIA's published capacity factors use summer.</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status</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"OP"</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Generator operating status codes to include. OP is operating.</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solar</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c("utility", "total")</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utility counts only utility-scale solar; total adds estimated small-scale distributed PV, which capacity data cannot match.</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groups</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NULL</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Resource groupings; defaults to essp.fuelgroups().</w:t>
            </w:r>
          </w:p>
        </w:tc>
      </w:tr>
    </w:tbl>
    <w:p>
      <w:pPr>
        <w:pStyle w:val="Heading2"/>
        <w:spacing w:after="60" w:before="280"/>
      </w:pPr>
      <w:r>
        <w:rPr>
          <w:rFonts w:ascii="Consolas" w:cs="Consolas" w:eastAsia="Consolas" w:hAnsi="Consolas"/>
          <w:b/>
          <w:bCs/>
          <w:color w:val="1A1A1A"/>
          <w:sz w:val="26"/>
          <w:szCs w:val="26"/>
        </w:rPr>
        <w:t xml:space="preserve">analyze.generation</w:t>
      </w:r>
    </w:p>
    <w:p>
      <w:pPr>
        <w:spacing w:after="120" w:before="0" w:line="276"/>
      </w:pPr>
      <w:r>
        <w:rPr>
          <w:rFonts w:ascii="Calibri" w:cs="Calibri" w:eastAsia="Calibri" w:hAnsi="Calibri"/>
          <w:b/>
          <w:bCs/>
          <w:color w:val="5A5A5A"/>
          <w:sz w:val="21"/>
          <w:szCs w:val="21"/>
        </w:rPr>
        <w:t xml:space="preserve">Net generation by resource</w:t>
      </w:r>
    </w:p>
    <w:p>
      <w:pPr>
        <w:spacing w:after="120" w:before="0" w:line="276"/>
      </w:pPr>
      <w:r>
        <w:rPr>
          <w:rFonts w:ascii="Calibri" w:cs="Calibri" w:eastAsia="Calibri" w:hAnsi="Calibri"/>
          <w:color w:val="1A1A1A"/>
          <w:sz w:val="21"/>
          <w:szCs w:val="21"/>
        </w:rPr>
        <w:t xml:space="preserve">Net generation by resource. Selects one non-overlapping EIA code per resource and derives Other as the residual, because EIA mixes aggregates with their own components.</w:t>
      </w:r>
    </w:p>
    <w:p>
      <w:pPr>
        <w:pBdr>
          <w:left w:val="single" w:color="BA0C2F" w:sz="12" w:space="6"/>
        </w:pBdr>
        <w:shd w:fill="F5F5F3" w:val="clear"/>
        <w:spacing w:after="100" w:before="60"/>
        <w:ind w:left="180"/>
      </w:pPr>
      <w:r>
        <w:rPr>
          <w:rFonts w:ascii="Consolas" w:cs="Consolas" w:eastAsia="Consolas" w:hAnsi="Consolas"/>
          <w:color w:val="1A1A1A"/>
          <w:sz w:val="18"/>
          <w:szCs w:val="18"/>
        </w:rPr>
        <w:t xml:space="preserve">analyze.generation(
    state = "US",
    year,
    sector = "99",
    solar = c("utility", "total"),
    groups = NULL
)</w:t>
      </w:r>
    </w:p>
    <w:tbl>
      <w:tblPr>
        <w:tblW w:type="dxa" w:w="9000"/>
        <w:tblBorders>
          <w:top w:val="single" w:color="D8D8D8" w:sz="6"/>
          <w:left w:val="none" w:color="FFFFFF" w:sz="0"/>
          <w:bottom w:val="single" w:color="D8D8D8" w:sz="6"/>
          <w:right w:val="none" w:color="FFFFFF" w:sz="0"/>
          <w:insideH w:val="single" w:color="D8D8D8" w:sz="4"/>
          <w:insideV w:val="none" w:color="FFFFFF" w:sz="0"/>
        </w:tblBorders>
      </w:tblPr>
      <w:tblGrid>
        <w:gridCol w:w="1500"/>
        <w:gridCol w:w="2200"/>
        <w:gridCol w:w="5300"/>
      </w:tblGrid>
      <w:tr>
        <w:trPr>
          <w:tblHeader/>
        </w:trPr>
        <w:tc>
          <w:tcPr>
            <w:tcW w:type="dxa" w:w="15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Argument</w:t>
            </w:r>
          </w:p>
        </w:tc>
        <w:tc>
          <w:tcPr>
            <w:tcW w:type="dxa" w:w="22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Default</w:t>
            </w:r>
          </w:p>
        </w:tc>
        <w:tc>
          <w:tcPr>
            <w:tcW w:type="dxa" w:w="53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What it controls</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state</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"US"</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State code such as GA, a vector of them, or US for the national figure.</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year</w:t>
            </w:r>
          </w:p>
        </w:tc>
        <w:tc>
          <w:tcPr>
            <w:tcW w:type="dxa" w:w="2200"/>
            <w:tcMar>
              <w:top w:type="dxa" w:w="60"/>
              <w:left w:type="dxa" w:w="100"/>
              <w:bottom w:type="dxa" w:w="60"/>
              <w:right w:type="dxa" w:w="100"/>
            </w:tcMar>
          </w:tcPr>
          <w:p>
            <w:pPr>
              <w:spacing w:after="120" w:before="0" w:line="276"/>
            </w:pPr>
            <w:r>
              <w:rPr>
                <w:rFonts w:ascii="Calibri" w:cs="Calibri" w:eastAsia="Calibri" w:hAnsi="Calibri"/>
                <w:i/>
                <w:iCs/>
                <w:color w:val="BA0C2F"/>
                <w:sz w:val="17"/>
                <w:szCs w:val="17"/>
              </w:rPr>
              <w:t xml:space="preserve">(required)</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Calendar year.</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sector</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"99"</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EIA sector id. 99 is all sectors.</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solar</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c("utility", "total")</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utility counts only utility-scale solar; total adds estimated small-scale distributed PV, which capacity data cannot match.</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groups</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NULL</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Resource groupings; defaults to essp.fuelgroups().</w:t>
            </w:r>
          </w:p>
        </w:tc>
      </w:tr>
    </w:tbl>
    <w:p>
      <w:pPr>
        <w:pStyle w:val="Heading2"/>
        <w:spacing w:after="60" w:before="280"/>
      </w:pPr>
      <w:r>
        <w:rPr>
          <w:rFonts w:ascii="Consolas" w:cs="Consolas" w:eastAsia="Consolas" w:hAnsi="Consolas"/>
          <w:b/>
          <w:bCs/>
          <w:color w:val="1A1A1A"/>
          <w:sz w:val="26"/>
          <w:szCs w:val="26"/>
        </w:rPr>
        <w:t xml:space="preserve">analyze.capacityfactor</w:t>
      </w:r>
    </w:p>
    <w:p>
      <w:pPr>
        <w:spacing w:after="120" w:before="0" w:line="276"/>
      </w:pPr>
      <w:r>
        <w:rPr>
          <w:rFonts w:ascii="Calibri" w:cs="Calibri" w:eastAsia="Calibri" w:hAnsi="Calibri"/>
          <w:b/>
          <w:bCs/>
          <w:color w:val="5A5A5A"/>
          <w:sz w:val="21"/>
          <w:szCs w:val="21"/>
        </w:rPr>
        <w:t xml:space="preserve">Capacity factor by resource</w:t>
      </w:r>
    </w:p>
    <w:p>
      <w:pPr>
        <w:spacing w:after="120" w:before="0" w:line="276"/>
      </w:pPr>
      <w:r>
        <w:rPr>
          <w:rFonts w:ascii="Calibri" w:cs="Calibri" w:eastAsia="Calibri" w:hAnsi="Calibri"/>
          <w:color w:val="1A1A1A"/>
          <w:sz w:val="21"/>
          <w:szCs w:val="21"/>
        </w:rPr>
        <w:t xml:space="preserve">Generation divided by what the fleet could have produced running flat out. Not published by EIA; derived here.</w:t>
      </w:r>
    </w:p>
    <w:p>
      <w:pPr>
        <w:pBdr>
          <w:left w:val="single" w:color="BA0C2F" w:sz="12" w:space="6"/>
        </w:pBdr>
        <w:shd w:fill="F5F5F3" w:val="clear"/>
        <w:spacing w:after="100" w:before="60"/>
        <w:ind w:left="180"/>
      </w:pPr>
      <w:r>
        <w:rPr>
          <w:rFonts w:ascii="Consolas" w:cs="Consolas" w:eastAsia="Consolas" w:hAnsi="Consolas"/>
          <w:color w:val="1A1A1A"/>
          <w:sz w:val="18"/>
          <w:szCs w:val="18"/>
        </w:rPr>
        <w:t xml:space="preserve">analyze.capacityfactor(
    state = "US",
    year,
    month = 12,
    basis = c("summer", "nameplate", "winter"),
    status = "OP",
    sector = "99",
    solar = c("utility", "total"),
    groups = NULL
)</w:t>
      </w:r>
    </w:p>
    <w:tbl>
      <w:tblPr>
        <w:tblW w:type="dxa" w:w="9000"/>
        <w:tblBorders>
          <w:top w:val="single" w:color="D8D8D8" w:sz="6"/>
          <w:left w:val="none" w:color="FFFFFF" w:sz="0"/>
          <w:bottom w:val="single" w:color="D8D8D8" w:sz="6"/>
          <w:right w:val="none" w:color="FFFFFF" w:sz="0"/>
          <w:insideH w:val="single" w:color="D8D8D8" w:sz="4"/>
          <w:insideV w:val="none" w:color="FFFFFF" w:sz="0"/>
        </w:tblBorders>
      </w:tblPr>
      <w:tblGrid>
        <w:gridCol w:w="1500"/>
        <w:gridCol w:w="2200"/>
        <w:gridCol w:w="5300"/>
      </w:tblGrid>
      <w:tr>
        <w:trPr>
          <w:tblHeader/>
        </w:trPr>
        <w:tc>
          <w:tcPr>
            <w:tcW w:type="dxa" w:w="15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Argument</w:t>
            </w:r>
          </w:p>
        </w:tc>
        <w:tc>
          <w:tcPr>
            <w:tcW w:type="dxa" w:w="22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Default</w:t>
            </w:r>
          </w:p>
        </w:tc>
        <w:tc>
          <w:tcPr>
            <w:tcW w:type="dxa" w:w="53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What it controls</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state</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"US"</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State code such as GA, a vector of them, or US for the national figure.</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year</w:t>
            </w:r>
          </w:p>
        </w:tc>
        <w:tc>
          <w:tcPr>
            <w:tcW w:type="dxa" w:w="2200"/>
            <w:tcMar>
              <w:top w:type="dxa" w:w="60"/>
              <w:left w:type="dxa" w:w="100"/>
              <w:bottom w:type="dxa" w:w="60"/>
              <w:right w:type="dxa" w:w="100"/>
            </w:tcMar>
          </w:tcPr>
          <w:p>
            <w:pPr>
              <w:spacing w:after="120" w:before="0" w:line="276"/>
            </w:pPr>
            <w:r>
              <w:rPr>
                <w:rFonts w:ascii="Calibri" w:cs="Calibri" w:eastAsia="Calibri" w:hAnsi="Calibri"/>
                <w:i/>
                <w:iCs/>
                <w:color w:val="BA0C2F"/>
                <w:sz w:val="17"/>
                <w:szCs w:val="17"/>
              </w:rPr>
              <w:t xml:space="preserve">(required)</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Calendar year.</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month</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12</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Month of the inventory snapshot, 1-12. Defaults to December.</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basis</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c("summer", "nameplate", "winter")</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Capacity basis: nameplate, net summer or net winter. EIA's published capacity factors use summer.</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status</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"OP"</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Generator operating status codes to include. OP is operating.</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sector</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"99"</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EIA sector id. 99 is all sectors.</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solar</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c("utility", "total")</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utility counts only utility-scale solar; total adds estimated small-scale distributed PV, which capacity data cannot match.</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groups</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NULL</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Resource groupings; defaults to essp.fuelgroups().</w:t>
            </w:r>
          </w:p>
        </w:tc>
      </w:tr>
    </w:tbl>
    <w:p>
      <w:pPr>
        <w:pStyle w:val="Heading2"/>
        <w:spacing w:after="60" w:before="280"/>
      </w:pPr>
      <w:r>
        <w:rPr>
          <w:rFonts w:ascii="Consolas" w:cs="Consolas" w:eastAsia="Consolas" w:hAnsi="Consolas"/>
          <w:b/>
          <w:bCs/>
          <w:color w:val="1A1A1A"/>
          <w:sz w:val="26"/>
          <w:szCs w:val="26"/>
        </w:rPr>
        <w:t xml:space="preserve">analyze.fleet</w:t>
      </w:r>
    </w:p>
    <w:p>
      <w:pPr>
        <w:spacing w:after="120" w:before="0" w:line="276"/>
      </w:pPr>
      <w:r>
        <w:rPr>
          <w:rFonts w:ascii="Calibri" w:cs="Calibri" w:eastAsia="Calibri" w:hAnsi="Calibri"/>
          <w:b/>
          <w:bCs/>
          <w:color w:val="5A5A5A"/>
          <w:sz w:val="21"/>
          <w:szCs w:val="21"/>
        </w:rPr>
        <w:t xml:space="preserve">Fleet composition from the generator inventory</w:t>
      </w:r>
    </w:p>
    <w:p>
      <w:pPr>
        <w:spacing w:after="120" w:before="0" w:line="276"/>
      </w:pPr>
      <w:r>
        <w:rPr>
          <w:rFonts w:ascii="Calibri" w:cs="Calibri" w:eastAsia="Calibri" w:hAnsi="Calibri"/>
          <w:color w:val="1A1A1A"/>
          <w:sz w:val="21"/>
          <w:szCs w:val="21"/>
        </w:rPr>
        <w:t xml:space="preserve">Plant and generator counts with unit-size statistics by resource.</w:t>
      </w:r>
    </w:p>
    <w:p>
      <w:pPr>
        <w:pBdr>
          <w:left w:val="single" w:color="BA0C2F" w:sz="12" w:space="6"/>
        </w:pBdr>
        <w:shd w:fill="F5F5F3" w:val="clear"/>
        <w:spacing w:after="100" w:before="60"/>
        <w:ind w:left="180"/>
      </w:pPr>
      <w:r>
        <w:rPr>
          <w:rFonts w:ascii="Consolas" w:cs="Consolas" w:eastAsia="Consolas" w:hAnsi="Consolas"/>
          <w:color w:val="1A1A1A"/>
          <w:sz w:val="18"/>
          <w:szCs w:val="18"/>
        </w:rPr>
        <w:t xml:space="preserve">analyze.fleet(
    state = "US",
    year,
    month = 12,
    basis = c("nameplate", "summer", "winter"),
    status = "OP",
    solar = c("utility", "total"),
    groups = NULL
)</w:t>
      </w:r>
    </w:p>
    <w:tbl>
      <w:tblPr>
        <w:tblW w:type="dxa" w:w="9000"/>
        <w:tblBorders>
          <w:top w:val="single" w:color="D8D8D8" w:sz="6"/>
          <w:left w:val="none" w:color="FFFFFF" w:sz="0"/>
          <w:bottom w:val="single" w:color="D8D8D8" w:sz="6"/>
          <w:right w:val="none" w:color="FFFFFF" w:sz="0"/>
          <w:insideH w:val="single" w:color="D8D8D8" w:sz="4"/>
          <w:insideV w:val="none" w:color="FFFFFF" w:sz="0"/>
        </w:tblBorders>
      </w:tblPr>
      <w:tblGrid>
        <w:gridCol w:w="1500"/>
        <w:gridCol w:w="2200"/>
        <w:gridCol w:w="5300"/>
      </w:tblGrid>
      <w:tr>
        <w:trPr>
          <w:tblHeader/>
        </w:trPr>
        <w:tc>
          <w:tcPr>
            <w:tcW w:type="dxa" w:w="15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Argument</w:t>
            </w:r>
          </w:p>
        </w:tc>
        <w:tc>
          <w:tcPr>
            <w:tcW w:type="dxa" w:w="22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Default</w:t>
            </w:r>
          </w:p>
        </w:tc>
        <w:tc>
          <w:tcPr>
            <w:tcW w:type="dxa" w:w="53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What it controls</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state</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"US"</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State code such as GA, a vector of them, or US for the national figure.</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year</w:t>
            </w:r>
          </w:p>
        </w:tc>
        <w:tc>
          <w:tcPr>
            <w:tcW w:type="dxa" w:w="2200"/>
            <w:tcMar>
              <w:top w:type="dxa" w:w="60"/>
              <w:left w:type="dxa" w:w="100"/>
              <w:bottom w:type="dxa" w:w="60"/>
              <w:right w:type="dxa" w:w="100"/>
            </w:tcMar>
          </w:tcPr>
          <w:p>
            <w:pPr>
              <w:spacing w:after="120" w:before="0" w:line="276"/>
            </w:pPr>
            <w:r>
              <w:rPr>
                <w:rFonts w:ascii="Calibri" w:cs="Calibri" w:eastAsia="Calibri" w:hAnsi="Calibri"/>
                <w:i/>
                <w:iCs/>
                <w:color w:val="BA0C2F"/>
                <w:sz w:val="17"/>
                <w:szCs w:val="17"/>
              </w:rPr>
              <w:t xml:space="preserve">(required)</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Calendar year.</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month</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12</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Month of the inventory snapshot, 1-12. Defaults to December.</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basis</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c("nameplate", "summer", "winter")</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Capacity basis: nameplate, net summer or net winter. EIA's published capacity factors use summer.</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status</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"OP"</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Generator operating status codes to include. OP is operating.</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solar</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c("utility", "total")</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utility counts only utility-scale solar; total adds estimated small-scale distributed PV, which capacity data cannot match.</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groups</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NULL</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Resource groupings; defaults to essp.fuelgroups().</w:t>
            </w:r>
          </w:p>
        </w:tc>
      </w:tr>
    </w:tbl>
    <w:p>
      <w:pPr>
        <w:pStyle w:val="Heading2"/>
        <w:spacing w:after="60" w:before="280"/>
      </w:pPr>
      <w:r>
        <w:rPr>
          <w:rFonts w:ascii="Consolas" w:cs="Consolas" w:eastAsia="Consolas" w:hAnsi="Consolas"/>
          <w:b/>
          <w:bCs/>
          <w:color w:val="1A1A1A"/>
          <w:sz w:val="26"/>
          <w:szCs w:val="26"/>
        </w:rPr>
        <w:t xml:space="preserve">analyze.fleetage</w:t>
      </w:r>
    </w:p>
    <w:p>
      <w:pPr>
        <w:spacing w:after="120" w:before="0" w:line="276"/>
      </w:pPr>
      <w:r>
        <w:rPr>
          <w:rFonts w:ascii="Calibri" w:cs="Calibri" w:eastAsia="Calibri" w:hAnsi="Calibri"/>
          <w:b/>
          <w:bCs/>
          <w:color w:val="5A5A5A"/>
          <w:sz w:val="21"/>
          <w:szCs w:val="21"/>
        </w:rPr>
        <w:t xml:space="preserve">Age of the generating fleet</w:t>
      </w:r>
    </w:p>
    <w:p>
      <w:pPr>
        <w:spacing w:after="120" w:before="0" w:line="276"/>
      </w:pPr>
      <w:r>
        <w:rPr>
          <w:rFonts w:ascii="Calibri" w:cs="Calibri" w:eastAsia="Calibri" w:hAnsi="Calibri"/>
          <w:color w:val="1A1A1A"/>
          <w:sz w:val="21"/>
          <w:szCs w:val="21"/>
        </w:rPr>
        <w:t xml:space="preserve">Age distribution by resource, counted by unit and weighted by capacity.</w:t>
      </w:r>
    </w:p>
    <w:p>
      <w:pPr>
        <w:pBdr>
          <w:left w:val="single" w:color="BA0C2F" w:sz="12" w:space="6"/>
        </w:pBdr>
        <w:shd w:fill="F5F5F3" w:val="clear"/>
        <w:spacing w:after="100" w:before="60"/>
        <w:ind w:left="180"/>
      </w:pPr>
      <w:r>
        <w:rPr>
          <w:rFonts w:ascii="Consolas" w:cs="Consolas" w:eastAsia="Consolas" w:hAnsi="Consolas"/>
          <w:color w:val="1A1A1A"/>
          <w:sz w:val="18"/>
          <w:szCs w:val="18"/>
        </w:rPr>
        <w:t xml:space="preserve">analyze.fleetage(
    state = "US",
    year,
    as_of = NULL,
    month = 12,
    status = "OP",
    solar = c("utility", "total"),
    groups = NULL
)</w:t>
      </w:r>
    </w:p>
    <w:tbl>
      <w:tblPr>
        <w:tblW w:type="dxa" w:w="9000"/>
        <w:tblBorders>
          <w:top w:val="single" w:color="D8D8D8" w:sz="6"/>
          <w:left w:val="none" w:color="FFFFFF" w:sz="0"/>
          <w:bottom w:val="single" w:color="D8D8D8" w:sz="6"/>
          <w:right w:val="none" w:color="FFFFFF" w:sz="0"/>
          <w:insideH w:val="single" w:color="D8D8D8" w:sz="4"/>
          <w:insideV w:val="none" w:color="FFFFFF" w:sz="0"/>
        </w:tblBorders>
      </w:tblPr>
      <w:tblGrid>
        <w:gridCol w:w="1500"/>
        <w:gridCol w:w="2200"/>
        <w:gridCol w:w="5300"/>
      </w:tblGrid>
      <w:tr>
        <w:trPr>
          <w:tblHeader/>
        </w:trPr>
        <w:tc>
          <w:tcPr>
            <w:tcW w:type="dxa" w:w="15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Argument</w:t>
            </w:r>
          </w:p>
        </w:tc>
        <w:tc>
          <w:tcPr>
            <w:tcW w:type="dxa" w:w="22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Default</w:t>
            </w:r>
          </w:p>
        </w:tc>
        <w:tc>
          <w:tcPr>
            <w:tcW w:type="dxa" w:w="53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What it controls</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state</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"US"</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State code such as GA, a vector of them, or US for the national figure.</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year</w:t>
            </w:r>
          </w:p>
        </w:tc>
        <w:tc>
          <w:tcPr>
            <w:tcW w:type="dxa" w:w="2200"/>
            <w:tcMar>
              <w:top w:type="dxa" w:w="60"/>
              <w:left w:type="dxa" w:w="100"/>
              <w:bottom w:type="dxa" w:w="60"/>
              <w:right w:type="dxa" w:w="100"/>
            </w:tcMar>
          </w:tcPr>
          <w:p>
            <w:pPr>
              <w:spacing w:after="120" w:before="0" w:line="276"/>
            </w:pPr>
            <w:r>
              <w:rPr>
                <w:rFonts w:ascii="Calibri" w:cs="Calibri" w:eastAsia="Calibri" w:hAnsi="Calibri"/>
                <w:i/>
                <w:iCs/>
                <w:color w:val="BA0C2F"/>
                <w:sz w:val="17"/>
                <w:szCs w:val="17"/>
              </w:rPr>
              <w:t xml:space="preserve">(required)</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Calendar year.</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as_of</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NULL</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Year to measure age against.</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month</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12</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Month of the inventory snapshot, 1-12. Defaults to December.</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status</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"OP"</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Generator operating status codes to include. OP is operating.</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solar</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c("utility", "total")</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utility counts only utility-scale solar; total adds estimated small-scale distributed PV, which capacity data cannot match.</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groups</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NULL</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Resource groupings; defaults to essp.fuelgroups().</w:t>
            </w:r>
          </w:p>
        </w:tc>
      </w:tr>
    </w:tbl>
    <w:p>
      <w:pPr>
        <w:pStyle w:val="Heading2"/>
        <w:spacing w:after="60" w:before="280"/>
      </w:pPr>
      <w:r>
        <w:rPr>
          <w:rFonts w:ascii="Consolas" w:cs="Consolas" w:eastAsia="Consolas" w:hAnsi="Consolas"/>
          <w:b/>
          <w:bCs/>
          <w:color w:val="1A1A1A"/>
          <w:sz w:val="26"/>
          <w:szCs w:val="26"/>
        </w:rPr>
        <w:t xml:space="preserve">analyze.additions</w:t>
      </w:r>
    </w:p>
    <w:p>
      <w:pPr>
        <w:spacing w:after="120" w:before="0" w:line="276"/>
      </w:pPr>
      <w:r>
        <w:rPr>
          <w:rFonts w:ascii="Calibri" w:cs="Calibri" w:eastAsia="Calibri" w:hAnsi="Calibri"/>
          <w:b/>
          <w:bCs/>
          <w:color w:val="5A5A5A"/>
          <w:sz w:val="21"/>
          <w:szCs w:val="21"/>
        </w:rPr>
        <w:t xml:space="preserve">Capacity additions by year</w:t>
      </w:r>
    </w:p>
    <w:p>
      <w:pPr>
        <w:spacing w:after="120" w:before="0" w:line="276"/>
      </w:pPr>
      <w:r>
        <w:rPr>
          <w:rFonts w:ascii="Calibri" w:cs="Calibri" w:eastAsia="Calibri" w:hAnsi="Calibri"/>
          <w:color w:val="1A1A1A"/>
          <w:sz w:val="21"/>
          <w:szCs w:val="21"/>
        </w:rPr>
        <w:t xml:space="preserve">Capacity brought online each year. A survivorship view: units already retired are absent, so older years are a floor.</w:t>
      </w:r>
    </w:p>
    <w:p>
      <w:pPr>
        <w:pBdr>
          <w:left w:val="single" w:color="BA0C2F" w:sz="12" w:space="6"/>
        </w:pBdr>
        <w:shd w:fill="F5F5F3" w:val="clear"/>
        <w:spacing w:after="100" w:before="60"/>
        <w:ind w:left="180"/>
      </w:pPr>
      <w:r>
        <w:rPr>
          <w:rFonts w:ascii="Consolas" w:cs="Consolas" w:eastAsia="Consolas" w:hAnsi="Consolas"/>
          <w:color w:val="1A1A1A"/>
          <w:sz w:val="18"/>
          <w:szCs w:val="18"/>
        </w:rPr>
        <w:t xml:space="preserve">analyze.additions(
    state = "US",
    year,
    years = NULL,
    month = 12,
    status = "OP",
    solar = c("utility", "total"),
    groups = NULL
)</w:t>
      </w:r>
    </w:p>
    <w:tbl>
      <w:tblPr>
        <w:tblW w:type="dxa" w:w="9000"/>
        <w:tblBorders>
          <w:top w:val="single" w:color="D8D8D8" w:sz="6"/>
          <w:left w:val="none" w:color="FFFFFF" w:sz="0"/>
          <w:bottom w:val="single" w:color="D8D8D8" w:sz="6"/>
          <w:right w:val="none" w:color="FFFFFF" w:sz="0"/>
          <w:insideH w:val="single" w:color="D8D8D8" w:sz="4"/>
          <w:insideV w:val="none" w:color="FFFFFF" w:sz="0"/>
        </w:tblBorders>
      </w:tblPr>
      <w:tblGrid>
        <w:gridCol w:w="1500"/>
        <w:gridCol w:w="2200"/>
        <w:gridCol w:w="5300"/>
      </w:tblGrid>
      <w:tr>
        <w:trPr>
          <w:tblHeader/>
        </w:trPr>
        <w:tc>
          <w:tcPr>
            <w:tcW w:type="dxa" w:w="15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Argument</w:t>
            </w:r>
          </w:p>
        </w:tc>
        <w:tc>
          <w:tcPr>
            <w:tcW w:type="dxa" w:w="22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Default</w:t>
            </w:r>
          </w:p>
        </w:tc>
        <w:tc>
          <w:tcPr>
            <w:tcW w:type="dxa" w:w="53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What it controls</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state</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"US"</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State code such as GA, a vector of them, or US for the national figure.</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year</w:t>
            </w:r>
          </w:p>
        </w:tc>
        <w:tc>
          <w:tcPr>
            <w:tcW w:type="dxa" w:w="2200"/>
            <w:tcMar>
              <w:top w:type="dxa" w:w="60"/>
              <w:left w:type="dxa" w:w="100"/>
              <w:bottom w:type="dxa" w:w="60"/>
              <w:right w:type="dxa" w:w="100"/>
            </w:tcMar>
          </w:tcPr>
          <w:p>
            <w:pPr>
              <w:spacing w:after="120" w:before="0" w:line="276"/>
            </w:pPr>
            <w:r>
              <w:rPr>
                <w:rFonts w:ascii="Calibri" w:cs="Calibri" w:eastAsia="Calibri" w:hAnsi="Calibri"/>
                <w:i/>
                <w:iCs/>
                <w:color w:val="BA0C2F"/>
                <w:sz w:val="17"/>
                <w:szCs w:val="17"/>
              </w:rPr>
              <w:t xml:space="preserve">(required)</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Calendar year.</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years</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NULL</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Calendar years to fetch; converted to the route's own period format.</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month</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12</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Month of the inventory snapshot, 1-12. Defaults to December.</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status</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"OP"</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Generator operating status codes to include. OP is operating.</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solar</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c("utility", "total")</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utility counts only utility-scale solar; total adds estimated small-scale distributed PV, which capacity data cannot match.</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groups</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NULL</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Resource groupings; defaults to essp.fuelgroups().</w:t>
            </w:r>
          </w:p>
        </w:tc>
      </w:tr>
    </w:tbl>
    <w:p>
      <w:pPr>
        <w:pStyle w:val="Heading2"/>
        <w:spacing w:after="60" w:before="280"/>
      </w:pPr>
      <w:r>
        <w:rPr>
          <w:rFonts w:ascii="Consolas" w:cs="Consolas" w:eastAsia="Consolas" w:hAnsi="Consolas"/>
          <w:b/>
          <w:bCs/>
          <w:color w:val="1A1A1A"/>
          <w:sz w:val="26"/>
          <w:szCs w:val="26"/>
        </w:rPr>
        <w:t xml:space="preserve">analyze.retirements</w:t>
      </w:r>
    </w:p>
    <w:p>
      <w:pPr>
        <w:spacing w:after="120" w:before="0" w:line="276"/>
      </w:pPr>
      <w:r>
        <w:rPr>
          <w:rFonts w:ascii="Calibri" w:cs="Calibri" w:eastAsia="Calibri" w:hAnsi="Calibri"/>
          <w:b/>
          <w:bCs/>
          <w:color w:val="5A5A5A"/>
          <w:sz w:val="21"/>
          <w:szCs w:val="21"/>
        </w:rPr>
        <w:t xml:space="preserve">Announced capacity retirements</w:t>
      </w:r>
    </w:p>
    <w:p>
      <w:pPr>
        <w:spacing w:after="120" w:before="0" w:line="276"/>
      </w:pPr>
      <w:r>
        <w:rPr>
          <w:rFonts w:ascii="Calibri" w:cs="Calibri" w:eastAsia="Calibri" w:hAnsi="Calibri"/>
          <w:color w:val="1A1A1A"/>
          <w:sz w:val="21"/>
          <w:szCs w:val="21"/>
        </w:rPr>
        <w:t xml:space="preserve">Announced retirements by year. Only what operators have filed, so a floor rather than a forecast.</w:t>
      </w:r>
    </w:p>
    <w:p>
      <w:pPr>
        <w:pBdr>
          <w:left w:val="single" w:color="BA0C2F" w:sz="12" w:space="6"/>
        </w:pBdr>
        <w:shd w:fill="F5F5F3" w:val="clear"/>
        <w:spacing w:after="100" w:before="60"/>
        <w:ind w:left="180"/>
      </w:pPr>
      <w:r>
        <w:rPr>
          <w:rFonts w:ascii="Consolas" w:cs="Consolas" w:eastAsia="Consolas" w:hAnsi="Consolas"/>
          <w:color w:val="1A1A1A"/>
          <w:sz w:val="18"/>
          <w:szCs w:val="18"/>
        </w:rPr>
        <w:t xml:space="preserve">analyze.retirements(
    state = "US",
    year,
    from = NULL,
    through = NULL,
    month = 12,
    status = "OP",
    solar = c("utility", "total"),
    groups = NULL
)</w:t>
      </w:r>
    </w:p>
    <w:tbl>
      <w:tblPr>
        <w:tblW w:type="dxa" w:w="9000"/>
        <w:tblBorders>
          <w:top w:val="single" w:color="D8D8D8" w:sz="6"/>
          <w:left w:val="none" w:color="FFFFFF" w:sz="0"/>
          <w:bottom w:val="single" w:color="D8D8D8" w:sz="6"/>
          <w:right w:val="none" w:color="FFFFFF" w:sz="0"/>
          <w:insideH w:val="single" w:color="D8D8D8" w:sz="4"/>
          <w:insideV w:val="none" w:color="FFFFFF" w:sz="0"/>
        </w:tblBorders>
      </w:tblPr>
      <w:tblGrid>
        <w:gridCol w:w="1500"/>
        <w:gridCol w:w="2200"/>
        <w:gridCol w:w="5300"/>
      </w:tblGrid>
      <w:tr>
        <w:trPr>
          <w:tblHeader/>
        </w:trPr>
        <w:tc>
          <w:tcPr>
            <w:tcW w:type="dxa" w:w="15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Argument</w:t>
            </w:r>
          </w:p>
        </w:tc>
        <w:tc>
          <w:tcPr>
            <w:tcW w:type="dxa" w:w="22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Default</w:t>
            </w:r>
          </w:p>
        </w:tc>
        <w:tc>
          <w:tcPr>
            <w:tcW w:type="dxa" w:w="53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What it controls</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state</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"US"</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State code such as GA, a vector of them, or US for the national figure.</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year</w:t>
            </w:r>
          </w:p>
        </w:tc>
        <w:tc>
          <w:tcPr>
            <w:tcW w:type="dxa" w:w="2200"/>
            <w:tcMar>
              <w:top w:type="dxa" w:w="60"/>
              <w:left w:type="dxa" w:w="100"/>
              <w:bottom w:type="dxa" w:w="60"/>
              <w:right w:type="dxa" w:w="100"/>
            </w:tcMar>
          </w:tcPr>
          <w:p>
            <w:pPr>
              <w:spacing w:after="120" w:before="0" w:line="276"/>
            </w:pPr>
            <w:r>
              <w:rPr>
                <w:rFonts w:ascii="Calibri" w:cs="Calibri" w:eastAsia="Calibri" w:hAnsi="Calibri"/>
                <w:i/>
                <w:iCs/>
                <w:color w:val="BA0C2F"/>
                <w:sz w:val="17"/>
                <w:szCs w:val="17"/>
              </w:rPr>
              <w:t xml:space="preserve">(required)</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Calendar year.</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from</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NULL</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Earliest year to include.</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through</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NULL</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Latest year to include.</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month</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12</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Month of the inventory snapshot, 1-12. Defaults to December.</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status</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"OP"</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Generator operating status codes to include. OP is operating.</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solar</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c("utility", "total")</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utility counts only utility-scale solar; total adds estimated small-scale distributed PV, which capacity data cannot match.</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groups</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NULL</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Resource groupings; defaults to essp.fuelgroups().</w:t>
            </w:r>
          </w:p>
        </w:tc>
      </w:tr>
    </w:tbl>
    <w:p>
      <w:pPr>
        <w:pStyle w:val="Heading2"/>
        <w:spacing w:after="60" w:before="280"/>
      </w:pPr>
      <w:r>
        <w:rPr>
          <w:rFonts w:ascii="Consolas" w:cs="Consolas" w:eastAsia="Consolas" w:hAnsi="Consolas"/>
          <w:b/>
          <w:bCs/>
          <w:color w:val="1A1A1A"/>
          <w:sz w:val="26"/>
          <w:szCs w:val="26"/>
        </w:rPr>
        <w:t xml:space="preserve">analyze.topproducers</w:t>
      </w:r>
    </w:p>
    <w:p>
      <w:pPr>
        <w:spacing w:after="120" w:before="0" w:line="276"/>
      </w:pPr>
      <w:r>
        <w:rPr>
          <w:rFonts w:ascii="Calibri" w:cs="Calibri" w:eastAsia="Calibri" w:hAnsi="Calibri"/>
          <w:b/>
          <w:bCs/>
          <w:color w:val="5A5A5A"/>
          <w:sz w:val="21"/>
          <w:szCs w:val="21"/>
        </w:rPr>
        <w:t xml:space="preserve">Rank states by production of a resource</w:t>
      </w:r>
    </w:p>
    <w:p>
      <w:pPr>
        <w:spacing w:after="120" w:before="0" w:line="276"/>
      </w:pPr>
      <w:r>
        <w:rPr>
          <w:rFonts w:ascii="Calibri" w:cs="Calibri" w:eastAsia="Calibri" w:hAnsi="Calibri"/>
          <w:color w:val="1A1A1A"/>
          <w:sz w:val="21"/>
          <w:szCs w:val="21"/>
        </w:rPr>
        <w:t xml:space="preserve">Ranks states by production with cumulative share. Census regions are excluded, since a region already contains its member states.</w:t>
      </w:r>
    </w:p>
    <w:p>
      <w:pPr>
        <w:pBdr>
          <w:left w:val="single" w:color="BA0C2F" w:sz="12" w:space="6"/>
        </w:pBdr>
        <w:shd w:fill="F5F5F3" w:val="clear"/>
        <w:spacing w:after="100" w:before="60"/>
        <w:ind w:left="180"/>
      </w:pPr>
      <w:r>
        <w:rPr>
          <w:rFonts w:ascii="Consolas" w:cs="Consolas" w:eastAsia="Consolas" w:hAnsi="Consolas"/>
          <w:color w:val="1A1A1A"/>
          <w:sz w:val="18"/>
          <w:szCs w:val="18"/>
        </w:rPr>
        <w:t xml:space="preserve">analyze.topproducers(
    fuel,
    year,
    n = 10,
    sector = "99",
    solar = c("utility", "total"),
    include_pr = FALSE
)</w:t>
      </w:r>
    </w:p>
    <w:tbl>
      <w:tblPr>
        <w:tblW w:type="dxa" w:w="9000"/>
        <w:tblBorders>
          <w:top w:val="single" w:color="D8D8D8" w:sz="6"/>
          <w:left w:val="none" w:color="FFFFFF" w:sz="0"/>
          <w:bottom w:val="single" w:color="D8D8D8" w:sz="6"/>
          <w:right w:val="none" w:color="FFFFFF" w:sz="0"/>
          <w:insideH w:val="single" w:color="D8D8D8" w:sz="4"/>
          <w:insideV w:val="none" w:color="FFFFFF" w:sz="0"/>
        </w:tblBorders>
      </w:tblPr>
      <w:tblGrid>
        <w:gridCol w:w="1500"/>
        <w:gridCol w:w="2200"/>
        <w:gridCol w:w="5300"/>
      </w:tblGrid>
      <w:tr>
        <w:trPr>
          <w:tblHeader/>
        </w:trPr>
        <w:tc>
          <w:tcPr>
            <w:tcW w:type="dxa" w:w="15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Argument</w:t>
            </w:r>
          </w:p>
        </w:tc>
        <w:tc>
          <w:tcPr>
            <w:tcW w:type="dxa" w:w="22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Default</w:t>
            </w:r>
          </w:p>
        </w:tc>
        <w:tc>
          <w:tcPr>
            <w:tcW w:type="dxa" w:w="53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What it controls</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fuel</w:t>
            </w:r>
          </w:p>
        </w:tc>
        <w:tc>
          <w:tcPr>
            <w:tcW w:type="dxa" w:w="2200"/>
            <w:tcMar>
              <w:top w:type="dxa" w:w="60"/>
              <w:left w:type="dxa" w:w="100"/>
              <w:bottom w:type="dxa" w:w="60"/>
              <w:right w:type="dxa" w:w="100"/>
            </w:tcMar>
          </w:tcPr>
          <w:p>
            <w:pPr>
              <w:spacing w:after="120" w:before="0" w:line="276"/>
            </w:pPr>
            <w:r>
              <w:rPr>
                <w:rFonts w:ascii="Calibri" w:cs="Calibri" w:eastAsia="Calibri" w:hAnsi="Calibri"/>
                <w:i/>
                <w:iCs/>
                <w:color w:val="BA0C2F"/>
                <w:sz w:val="17"/>
                <w:szCs w:val="17"/>
              </w:rPr>
              <w:t xml:space="preserve">(required)</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Fuel or energy source code.</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year</w:t>
            </w:r>
          </w:p>
        </w:tc>
        <w:tc>
          <w:tcPr>
            <w:tcW w:type="dxa" w:w="2200"/>
            <w:tcMar>
              <w:top w:type="dxa" w:w="60"/>
              <w:left w:type="dxa" w:w="100"/>
              <w:bottom w:type="dxa" w:w="60"/>
              <w:right w:type="dxa" w:w="100"/>
            </w:tcMar>
          </w:tcPr>
          <w:p>
            <w:pPr>
              <w:spacing w:after="120" w:before="0" w:line="276"/>
            </w:pPr>
            <w:r>
              <w:rPr>
                <w:rFonts w:ascii="Calibri" w:cs="Calibri" w:eastAsia="Calibri" w:hAnsi="Calibri"/>
                <w:i/>
                <w:iCs/>
                <w:color w:val="BA0C2F"/>
                <w:sz w:val="17"/>
                <w:szCs w:val="17"/>
              </w:rPr>
              <w:t xml:space="preserve">(required)</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Calendar year.</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n</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10</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How many rows to return or show.</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sector</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"99"</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EIA sector id. 99 is all sectors.</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solar</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c("utility", "total")</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utility counts only utility-scale solar; total adds estimated small-scale distributed PV, which capacity data cannot match.</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include_pr</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FALSE</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Include Puerto Rico, which EIA reports alongside states but excludes from its US total.</w:t>
            </w:r>
          </w:p>
        </w:tc>
      </w:tr>
    </w:tbl>
    <w:p>
      <w:pPr>
        <w:pStyle w:val="Heading2"/>
        <w:spacing w:after="60" w:before="280"/>
      </w:pPr>
      <w:r>
        <w:rPr>
          <w:rFonts w:ascii="Consolas" w:cs="Consolas" w:eastAsia="Consolas" w:hAnsi="Consolas"/>
          <w:b/>
          <w:bCs/>
          <w:color w:val="1A1A1A"/>
          <w:sz w:val="26"/>
          <w:szCs w:val="26"/>
        </w:rPr>
        <w:t xml:space="preserve">analyze.diversity</w:t>
      </w:r>
    </w:p>
    <w:p>
      <w:pPr>
        <w:spacing w:after="120" w:before="0" w:line="276"/>
      </w:pPr>
      <w:r>
        <w:rPr>
          <w:rFonts w:ascii="Calibri" w:cs="Calibri" w:eastAsia="Calibri" w:hAnsi="Calibri"/>
          <w:b/>
          <w:bCs/>
          <w:color w:val="5A5A5A"/>
          <w:sz w:val="21"/>
          <w:szCs w:val="21"/>
        </w:rPr>
        <w:t xml:space="preserve">Concentration of the generation mix</w:t>
      </w:r>
    </w:p>
    <w:p>
      <w:pPr>
        <w:spacing w:after="120" w:before="0" w:line="276"/>
      </w:pPr>
      <w:r>
        <w:rPr>
          <w:rFonts w:ascii="Calibri" w:cs="Calibri" w:eastAsia="Calibri" w:hAnsi="Calibri"/>
          <w:color w:val="1A1A1A"/>
          <w:sz w:val="21"/>
          <w:szCs w:val="21"/>
        </w:rPr>
        <w:t xml:space="preserve">Concentration of the generation mix via the Herfindahl-Hirschman index and Shannon entropy.</w:t>
      </w:r>
    </w:p>
    <w:p>
      <w:pPr>
        <w:pBdr>
          <w:left w:val="single" w:color="BA0C2F" w:sz="12" w:space="6"/>
        </w:pBdr>
        <w:shd w:fill="F5F5F3" w:val="clear"/>
        <w:spacing w:after="100" w:before="60"/>
        <w:ind w:left="180"/>
      </w:pPr>
      <w:r>
        <w:rPr>
          <w:rFonts w:ascii="Consolas" w:cs="Consolas" w:eastAsia="Consolas" w:hAnsi="Consolas"/>
          <w:color w:val="1A1A1A"/>
          <w:sz w:val="18"/>
          <w:szCs w:val="18"/>
        </w:rPr>
        <w:t xml:space="preserve">analyze.diversity(
    state = "US",
    year,
    metric = c("generation", "capacity"),
    solar = c("utility", "total")
)</w:t>
      </w:r>
    </w:p>
    <w:tbl>
      <w:tblPr>
        <w:tblW w:type="dxa" w:w="9000"/>
        <w:tblBorders>
          <w:top w:val="single" w:color="D8D8D8" w:sz="6"/>
          <w:left w:val="none" w:color="FFFFFF" w:sz="0"/>
          <w:bottom w:val="single" w:color="D8D8D8" w:sz="6"/>
          <w:right w:val="none" w:color="FFFFFF" w:sz="0"/>
          <w:insideH w:val="single" w:color="D8D8D8" w:sz="4"/>
          <w:insideV w:val="none" w:color="FFFFFF" w:sz="0"/>
        </w:tblBorders>
      </w:tblPr>
      <w:tblGrid>
        <w:gridCol w:w="1500"/>
        <w:gridCol w:w="2200"/>
        <w:gridCol w:w="5300"/>
      </w:tblGrid>
      <w:tr>
        <w:trPr>
          <w:tblHeader/>
        </w:trPr>
        <w:tc>
          <w:tcPr>
            <w:tcW w:type="dxa" w:w="15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Argument</w:t>
            </w:r>
          </w:p>
        </w:tc>
        <w:tc>
          <w:tcPr>
            <w:tcW w:type="dxa" w:w="22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Default</w:t>
            </w:r>
          </w:p>
        </w:tc>
        <w:tc>
          <w:tcPr>
            <w:tcW w:type="dxa" w:w="53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What it controls</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state</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"US"</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State code such as GA, a vector of them, or US for the national figure.</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year</w:t>
            </w:r>
          </w:p>
        </w:tc>
        <w:tc>
          <w:tcPr>
            <w:tcW w:type="dxa" w:w="2200"/>
            <w:tcMar>
              <w:top w:type="dxa" w:w="60"/>
              <w:left w:type="dxa" w:w="100"/>
              <w:bottom w:type="dxa" w:w="60"/>
              <w:right w:type="dxa" w:w="100"/>
            </w:tcMar>
          </w:tcPr>
          <w:p>
            <w:pPr>
              <w:spacing w:after="120" w:before="0" w:line="276"/>
            </w:pPr>
            <w:r>
              <w:rPr>
                <w:rFonts w:ascii="Calibri" w:cs="Calibri" w:eastAsia="Calibri" w:hAnsi="Calibri"/>
                <w:i/>
                <w:iCs/>
                <w:color w:val="BA0C2F"/>
                <w:sz w:val="17"/>
                <w:szCs w:val="17"/>
              </w:rPr>
              <w:t xml:space="preserve">(required)</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Calendar year.</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metric</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c("generation", "capacity")</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Which analysis to run.</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solar</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c("utility", "total")</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utility counts only utility-scale solar; total adds estimated small-scale distributed PV, which capacity data cannot match.</w:t>
            </w:r>
          </w:p>
        </w:tc>
      </w:tr>
    </w:tbl>
    <w:p>
      <w:pPr>
        <w:pStyle w:val="Heading2"/>
        <w:spacing w:after="60" w:before="280"/>
      </w:pPr>
      <w:r>
        <w:rPr>
          <w:rFonts w:ascii="Consolas" w:cs="Consolas" w:eastAsia="Consolas" w:hAnsi="Consolas"/>
          <w:b/>
          <w:bCs/>
          <w:color w:val="1A1A1A"/>
          <w:sz w:val="26"/>
          <w:szCs w:val="26"/>
        </w:rPr>
        <w:t xml:space="preserve">analyze.load</w:t>
      </w:r>
    </w:p>
    <w:p>
      <w:pPr>
        <w:spacing w:after="120" w:before="0" w:line="276"/>
      </w:pPr>
      <w:r>
        <w:rPr>
          <w:rFonts w:ascii="Calibri" w:cs="Calibri" w:eastAsia="Calibri" w:hAnsi="Calibri"/>
          <w:b/>
          <w:bCs/>
          <w:color w:val="5A5A5A"/>
          <w:sz w:val="21"/>
          <w:szCs w:val="21"/>
        </w:rPr>
        <w:t xml:space="preserve">Load statistics for a balancing authority</w:t>
      </w:r>
    </w:p>
    <w:p>
      <w:pPr>
        <w:spacing w:after="120" w:before="0" w:line="276"/>
      </w:pPr>
      <w:r>
        <w:rPr>
          <w:rFonts w:ascii="Calibri" w:cs="Calibri" w:eastAsia="Calibri" w:hAnsi="Calibri"/>
          <w:color w:val="1A1A1A"/>
          <w:sz w:val="21"/>
          <w:szCs w:val="21"/>
        </w:rPr>
        <w:t xml:space="preserve">Peak, minimum, mean, load factor, peak hour and maximum ramp for a balancing authority.</w:t>
      </w:r>
    </w:p>
    <w:p>
      <w:pPr>
        <w:pBdr>
          <w:left w:val="single" w:color="BA0C2F" w:sz="12" w:space="6"/>
        </w:pBdr>
        <w:shd w:fill="F5F5F3" w:val="clear"/>
        <w:spacing w:after="100" w:before="60"/>
        <w:ind w:left="180"/>
      </w:pPr>
      <w:r>
        <w:rPr>
          <w:rFonts w:ascii="Consolas" w:cs="Consolas" w:eastAsia="Consolas" w:hAnsi="Consolas"/>
          <w:color w:val="1A1A1A"/>
          <w:sz w:val="18"/>
          <w:szCs w:val="18"/>
        </w:rPr>
        <w:t xml:space="preserve">analyze.load(ba, start, end, local = TRUE)</w:t>
      </w:r>
    </w:p>
    <w:tbl>
      <w:tblPr>
        <w:tblW w:type="dxa" w:w="9000"/>
        <w:tblBorders>
          <w:top w:val="single" w:color="D8D8D8" w:sz="6"/>
          <w:left w:val="none" w:color="FFFFFF" w:sz="0"/>
          <w:bottom w:val="single" w:color="D8D8D8" w:sz="6"/>
          <w:right w:val="none" w:color="FFFFFF" w:sz="0"/>
          <w:insideH w:val="single" w:color="D8D8D8" w:sz="4"/>
          <w:insideV w:val="none" w:color="FFFFFF" w:sz="0"/>
        </w:tblBorders>
      </w:tblPr>
      <w:tblGrid>
        <w:gridCol w:w="1500"/>
        <w:gridCol w:w="2200"/>
        <w:gridCol w:w="5300"/>
      </w:tblGrid>
      <w:tr>
        <w:trPr>
          <w:tblHeader/>
        </w:trPr>
        <w:tc>
          <w:tcPr>
            <w:tcW w:type="dxa" w:w="15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Argument</w:t>
            </w:r>
          </w:p>
        </w:tc>
        <w:tc>
          <w:tcPr>
            <w:tcW w:type="dxa" w:w="22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Default</w:t>
            </w:r>
          </w:p>
        </w:tc>
        <w:tc>
          <w:tcPr>
            <w:tcW w:type="dxa" w:w="53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What it controls</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ba</w:t>
            </w:r>
          </w:p>
        </w:tc>
        <w:tc>
          <w:tcPr>
            <w:tcW w:type="dxa" w:w="2200"/>
            <w:tcMar>
              <w:top w:type="dxa" w:w="60"/>
              <w:left w:type="dxa" w:w="100"/>
              <w:bottom w:type="dxa" w:w="60"/>
              <w:right w:type="dxa" w:w="100"/>
            </w:tcMar>
          </w:tcPr>
          <w:p>
            <w:pPr>
              <w:spacing w:after="120" w:before="0" w:line="276"/>
            </w:pPr>
            <w:r>
              <w:rPr>
                <w:rFonts w:ascii="Calibri" w:cs="Calibri" w:eastAsia="Calibri" w:hAnsi="Calibri"/>
                <w:i/>
                <w:iCs/>
                <w:color w:val="BA0C2F"/>
                <w:sz w:val="17"/>
                <w:szCs w:val="17"/>
              </w:rPr>
              <w:t xml:space="preserve">(required)</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Balancing authority code such as CISO. See essp.respondents().</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start</w:t>
            </w:r>
          </w:p>
        </w:tc>
        <w:tc>
          <w:tcPr>
            <w:tcW w:type="dxa" w:w="2200"/>
            <w:tcMar>
              <w:top w:type="dxa" w:w="60"/>
              <w:left w:type="dxa" w:w="100"/>
              <w:bottom w:type="dxa" w:w="60"/>
              <w:right w:type="dxa" w:w="100"/>
            </w:tcMar>
          </w:tcPr>
          <w:p>
            <w:pPr>
              <w:spacing w:after="120" w:before="0" w:line="276"/>
            </w:pPr>
            <w:r>
              <w:rPr>
                <w:rFonts w:ascii="Calibri" w:cs="Calibri" w:eastAsia="Calibri" w:hAnsi="Calibri"/>
                <w:i/>
                <w:iCs/>
                <w:color w:val="BA0C2F"/>
                <w:sz w:val="17"/>
                <w:szCs w:val="17"/>
              </w:rPr>
              <w:t xml:space="preserve">(required)</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Period lower bound in the route's own format.</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end</w:t>
            </w:r>
          </w:p>
        </w:tc>
        <w:tc>
          <w:tcPr>
            <w:tcW w:type="dxa" w:w="2200"/>
            <w:tcMar>
              <w:top w:type="dxa" w:w="60"/>
              <w:left w:type="dxa" w:w="100"/>
              <w:bottom w:type="dxa" w:w="60"/>
              <w:right w:type="dxa" w:w="100"/>
            </w:tcMar>
          </w:tcPr>
          <w:p>
            <w:pPr>
              <w:spacing w:after="120" w:before="0" w:line="276"/>
            </w:pPr>
            <w:r>
              <w:rPr>
                <w:rFonts w:ascii="Calibri" w:cs="Calibri" w:eastAsia="Calibri" w:hAnsi="Calibri"/>
                <w:i/>
                <w:iCs/>
                <w:color w:val="BA0C2F"/>
                <w:sz w:val="17"/>
                <w:szCs w:val="17"/>
              </w:rPr>
              <w:t xml:space="preserve">(required)</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Period upper bound in the route's own format.</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local</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TRUE</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Use the respondent's local time rather than UTC. Local time is what makes hour-of-day meaningful.</w:t>
            </w:r>
          </w:p>
        </w:tc>
      </w:tr>
    </w:tbl>
    <w:p>
      <w:pPr>
        <w:pStyle w:val="Heading2"/>
        <w:spacing w:after="60" w:before="280"/>
      </w:pPr>
      <w:r>
        <w:rPr>
          <w:rFonts w:ascii="Consolas" w:cs="Consolas" w:eastAsia="Consolas" w:hAnsi="Consolas"/>
          <w:b/>
          <w:bCs/>
          <w:color w:val="1A1A1A"/>
          <w:sz w:val="26"/>
          <w:szCs w:val="26"/>
        </w:rPr>
        <w:t xml:space="preserve">analyze.loadshape</w:t>
      </w:r>
    </w:p>
    <w:p>
      <w:pPr>
        <w:spacing w:after="120" w:before="0" w:line="276"/>
      </w:pPr>
      <w:r>
        <w:rPr>
          <w:rFonts w:ascii="Calibri" w:cs="Calibri" w:eastAsia="Calibri" w:hAnsi="Calibri"/>
          <w:b/>
          <w:bCs/>
          <w:color w:val="5A5A5A"/>
          <w:sz w:val="21"/>
          <w:szCs w:val="21"/>
        </w:rPr>
        <w:t xml:space="preserve">Average daily load shape</w:t>
      </w:r>
    </w:p>
    <w:p>
      <w:pPr>
        <w:spacing w:after="120" w:before="0" w:line="276"/>
      </w:pPr>
      <w:r>
        <w:rPr>
          <w:rFonts w:ascii="Calibri" w:cs="Calibri" w:eastAsia="Calibri" w:hAnsi="Calibri"/>
          <w:color w:val="1A1A1A"/>
          <w:sz w:val="21"/>
          <w:szCs w:val="21"/>
        </w:rPr>
        <w:t xml:space="preserve">Mean demand by hour of day, optionally split by month or season. Hours are local, which is what makes an evening peak land in the evening.</w:t>
      </w:r>
    </w:p>
    <w:p>
      <w:pPr>
        <w:pBdr>
          <w:left w:val="single" w:color="BA0C2F" w:sz="12" w:space="6"/>
        </w:pBdr>
        <w:shd w:fill="F5F5F3" w:val="clear"/>
        <w:spacing w:after="100" w:before="60"/>
        <w:ind w:left="180"/>
      </w:pPr>
      <w:r>
        <w:rPr>
          <w:rFonts w:ascii="Consolas" w:cs="Consolas" w:eastAsia="Consolas" w:hAnsi="Consolas"/>
          <w:color w:val="1A1A1A"/>
          <w:sz w:val="18"/>
          <w:szCs w:val="18"/>
        </w:rPr>
        <w:t xml:space="preserve">analyze.loadshape(ba, start, end, by = c("none", "month", "season"), local = TRUE)</w:t>
      </w:r>
    </w:p>
    <w:tbl>
      <w:tblPr>
        <w:tblW w:type="dxa" w:w="9000"/>
        <w:tblBorders>
          <w:top w:val="single" w:color="D8D8D8" w:sz="6"/>
          <w:left w:val="none" w:color="FFFFFF" w:sz="0"/>
          <w:bottom w:val="single" w:color="D8D8D8" w:sz="6"/>
          <w:right w:val="none" w:color="FFFFFF" w:sz="0"/>
          <w:insideH w:val="single" w:color="D8D8D8" w:sz="4"/>
          <w:insideV w:val="none" w:color="FFFFFF" w:sz="0"/>
        </w:tblBorders>
      </w:tblPr>
      <w:tblGrid>
        <w:gridCol w:w="1500"/>
        <w:gridCol w:w="2200"/>
        <w:gridCol w:w="5300"/>
      </w:tblGrid>
      <w:tr>
        <w:trPr>
          <w:tblHeader/>
        </w:trPr>
        <w:tc>
          <w:tcPr>
            <w:tcW w:type="dxa" w:w="15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Argument</w:t>
            </w:r>
          </w:p>
        </w:tc>
        <w:tc>
          <w:tcPr>
            <w:tcW w:type="dxa" w:w="22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Default</w:t>
            </w:r>
          </w:p>
        </w:tc>
        <w:tc>
          <w:tcPr>
            <w:tcW w:type="dxa" w:w="53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What it controls</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ba</w:t>
            </w:r>
          </w:p>
        </w:tc>
        <w:tc>
          <w:tcPr>
            <w:tcW w:type="dxa" w:w="2200"/>
            <w:tcMar>
              <w:top w:type="dxa" w:w="60"/>
              <w:left w:type="dxa" w:w="100"/>
              <w:bottom w:type="dxa" w:w="60"/>
              <w:right w:type="dxa" w:w="100"/>
            </w:tcMar>
          </w:tcPr>
          <w:p>
            <w:pPr>
              <w:spacing w:after="120" w:before="0" w:line="276"/>
            </w:pPr>
            <w:r>
              <w:rPr>
                <w:rFonts w:ascii="Calibri" w:cs="Calibri" w:eastAsia="Calibri" w:hAnsi="Calibri"/>
                <w:i/>
                <w:iCs/>
                <w:color w:val="BA0C2F"/>
                <w:sz w:val="17"/>
                <w:szCs w:val="17"/>
              </w:rPr>
              <w:t xml:space="preserve">(required)</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Balancing authority code such as CISO. See essp.respondents().</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start</w:t>
            </w:r>
          </w:p>
        </w:tc>
        <w:tc>
          <w:tcPr>
            <w:tcW w:type="dxa" w:w="2200"/>
            <w:tcMar>
              <w:top w:type="dxa" w:w="60"/>
              <w:left w:type="dxa" w:w="100"/>
              <w:bottom w:type="dxa" w:w="60"/>
              <w:right w:type="dxa" w:w="100"/>
            </w:tcMar>
          </w:tcPr>
          <w:p>
            <w:pPr>
              <w:spacing w:after="120" w:before="0" w:line="276"/>
            </w:pPr>
            <w:r>
              <w:rPr>
                <w:rFonts w:ascii="Calibri" w:cs="Calibri" w:eastAsia="Calibri" w:hAnsi="Calibri"/>
                <w:i/>
                <w:iCs/>
                <w:color w:val="BA0C2F"/>
                <w:sz w:val="17"/>
                <w:szCs w:val="17"/>
              </w:rPr>
              <w:t xml:space="preserve">(required)</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Period lower bound in the route's own format.</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end</w:t>
            </w:r>
          </w:p>
        </w:tc>
        <w:tc>
          <w:tcPr>
            <w:tcW w:type="dxa" w:w="2200"/>
            <w:tcMar>
              <w:top w:type="dxa" w:w="60"/>
              <w:left w:type="dxa" w:w="100"/>
              <w:bottom w:type="dxa" w:w="60"/>
              <w:right w:type="dxa" w:w="100"/>
            </w:tcMar>
          </w:tcPr>
          <w:p>
            <w:pPr>
              <w:spacing w:after="120" w:before="0" w:line="276"/>
            </w:pPr>
            <w:r>
              <w:rPr>
                <w:rFonts w:ascii="Calibri" w:cs="Calibri" w:eastAsia="Calibri" w:hAnsi="Calibri"/>
                <w:i/>
                <w:iCs/>
                <w:color w:val="BA0C2F"/>
                <w:sz w:val="17"/>
                <w:szCs w:val="17"/>
              </w:rPr>
              <w:t xml:space="preserve">(required)</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Period upper bound in the route's own format.</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by</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c("none", "month", "season")</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Optional grouping.</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local</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TRUE</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Use the respondent's local time rather than UTC. Local time is what makes hour-of-day meaningful.</w:t>
            </w:r>
          </w:p>
        </w:tc>
      </w:tr>
    </w:tbl>
    <w:p>
      <w:pPr>
        <w:pStyle w:val="Heading2"/>
        <w:spacing w:after="60" w:before="280"/>
      </w:pPr>
      <w:r>
        <w:rPr>
          <w:rFonts w:ascii="Consolas" w:cs="Consolas" w:eastAsia="Consolas" w:hAnsi="Consolas"/>
          <w:b/>
          <w:bCs/>
          <w:color w:val="1A1A1A"/>
          <w:sz w:val="26"/>
          <w:szCs w:val="26"/>
        </w:rPr>
        <w:t xml:space="preserve">analyze.fuelshape</w:t>
      </w:r>
    </w:p>
    <w:p>
      <w:pPr>
        <w:spacing w:after="120" w:before="0" w:line="276"/>
      </w:pPr>
      <w:r>
        <w:rPr>
          <w:rFonts w:ascii="Calibri" w:cs="Calibri" w:eastAsia="Calibri" w:hAnsi="Calibri"/>
          <w:b/>
          <w:bCs/>
          <w:color w:val="5A5A5A"/>
          <w:sz w:val="21"/>
          <w:szCs w:val="21"/>
        </w:rPr>
        <w:t xml:space="preserve">Average daily generation shape by fuel</w:t>
      </w:r>
    </w:p>
    <w:p>
      <w:pPr>
        <w:spacing w:after="120" w:before="0" w:line="276"/>
      </w:pPr>
      <w:r>
        <w:rPr>
          <w:rFonts w:ascii="Calibri" w:cs="Calibri" w:eastAsia="Calibri" w:hAnsi="Calibri"/>
          <w:color w:val="1A1A1A"/>
          <w:sz w:val="21"/>
          <w:szCs w:val="21"/>
        </w:rPr>
        <w:t xml:space="preserve">Mean generation by hour of day and fuel type: the stacked profile a demand curve is built from.</w:t>
      </w:r>
    </w:p>
    <w:p>
      <w:pPr>
        <w:pBdr>
          <w:left w:val="single" w:color="BA0C2F" w:sz="12" w:space="6"/>
        </w:pBdr>
        <w:shd w:fill="F5F5F3" w:val="clear"/>
        <w:spacing w:after="100" w:before="60"/>
        <w:ind w:left="180"/>
      </w:pPr>
      <w:r>
        <w:rPr>
          <w:rFonts w:ascii="Consolas" w:cs="Consolas" w:eastAsia="Consolas" w:hAnsi="Consolas"/>
          <w:color w:val="1A1A1A"/>
          <w:sz w:val="18"/>
          <w:szCs w:val="18"/>
        </w:rPr>
        <w:t xml:space="preserve">analyze.fuelshape(ba, start, end, fuels = NULL, local = TRUE)</w:t>
      </w:r>
    </w:p>
    <w:tbl>
      <w:tblPr>
        <w:tblW w:type="dxa" w:w="9000"/>
        <w:tblBorders>
          <w:top w:val="single" w:color="D8D8D8" w:sz="6"/>
          <w:left w:val="none" w:color="FFFFFF" w:sz="0"/>
          <w:bottom w:val="single" w:color="D8D8D8" w:sz="6"/>
          <w:right w:val="none" w:color="FFFFFF" w:sz="0"/>
          <w:insideH w:val="single" w:color="D8D8D8" w:sz="4"/>
          <w:insideV w:val="none" w:color="FFFFFF" w:sz="0"/>
        </w:tblBorders>
      </w:tblPr>
      <w:tblGrid>
        <w:gridCol w:w="1500"/>
        <w:gridCol w:w="2200"/>
        <w:gridCol w:w="5300"/>
      </w:tblGrid>
      <w:tr>
        <w:trPr>
          <w:tblHeader/>
        </w:trPr>
        <w:tc>
          <w:tcPr>
            <w:tcW w:type="dxa" w:w="15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Argument</w:t>
            </w:r>
          </w:p>
        </w:tc>
        <w:tc>
          <w:tcPr>
            <w:tcW w:type="dxa" w:w="22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Default</w:t>
            </w:r>
          </w:p>
        </w:tc>
        <w:tc>
          <w:tcPr>
            <w:tcW w:type="dxa" w:w="53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What it controls</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ba</w:t>
            </w:r>
          </w:p>
        </w:tc>
        <w:tc>
          <w:tcPr>
            <w:tcW w:type="dxa" w:w="2200"/>
            <w:tcMar>
              <w:top w:type="dxa" w:w="60"/>
              <w:left w:type="dxa" w:w="100"/>
              <w:bottom w:type="dxa" w:w="60"/>
              <w:right w:type="dxa" w:w="100"/>
            </w:tcMar>
          </w:tcPr>
          <w:p>
            <w:pPr>
              <w:spacing w:after="120" w:before="0" w:line="276"/>
            </w:pPr>
            <w:r>
              <w:rPr>
                <w:rFonts w:ascii="Calibri" w:cs="Calibri" w:eastAsia="Calibri" w:hAnsi="Calibri"/>
                <w:i/>
                <w:iCs/>
                <w:color w:val="BA0C2F"/>
                <w:sz w:val="17"/>
                <w:szCs w:val="17"/>
              </w:rPr>
              <w:t xml:space="preserve">(required)</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Balancing authority code such as CISO. See essp.respondents().</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start</w:t>
            </w:r>
          </w:p>
        </w:tc>
        <w:tc>
          <w:tcPr>
            <w:tcW w:type="dxa" w:w="2200"/>
            <w:tcMar>
              <w:top w:type="dxa" w:w="60"/>
              <w:left w:type="dxa" w:w="100"/>
              <w:bottom w:type="dxa" w:w="60"/>
              <w:right w:type="dxa" w:w="100"/>
            </w:tcMar>
          </w:tcPr>
          <w:p>
            <w:pPr>
              <w:spacing w:after="120" w:before="0" w:line="276"/>
            </w:pPr>
            <w:r>
              <w:rPr>
                <w:rFonts w:ascii="Calibri" w:cs="Calibri" w:eastAsia="Calibri" w:hAnsi="Calibri"/>
                <w:i/>
                <w:iCs/>
                <w:color w:val="BA0C2F"/>
                <w:sz w:val="17"/>
                <w:szCs w:val="17"/>
              </w:rPr>
              <w:t xml:space="preserve">(required)</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Period lower bound in the route's own format.</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end</w:t>
            </w:r>
          </w:p>
        </w:tc>
        <w:tc>
          <w:tcPr>
            <w:tcW w:type="dxa" w:w="2200"/>
            <w:tcMar>
              <w:top w:type="dxa" w:w="60"/>
              <w:left w:type="dxa" w:w="100"/>
              <w:bottom w:type="dxa" w:w="60"/>
              <w:right w:type="dxa" w:w="100"/>
            </w:tcMar>
          </w:tcPr>
          <w:p>
            <w:pPr>
              <w:spacing w:after="120" w:before="0" w:line="276"/>
            </w:pPr>
            <w:r>
              <w:rPr>
                <w:rFonts w:ascii="Calibri" w:cs="Calibri" w:eastAsia="Calibri" w:hAnsi="Calibri"/>
                <w:i/>
                <w:iCs/>
                <w:color w:val="BA0C2F"/>
                <w:sz w:val="17"/>
                <w:szCs w:val="17"/>
              </w:rPr>
              <w:t xml:space="preserve">(required)</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Period upper bound in the route's own format.</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fuels</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NULL</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Fuel codes to keep.</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local</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TRUE</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Use the respondent's local time rather than UTC. Local time is what makes hour-of-day meaningful.</w:t>
            </w:r>
          </w:p>
        </w:tc>
      </w:tr>
    </w:tbl>
    <w:p>
      <w:pPr>
        <w:pStyle w:val="Heading2"/>
        <w:spacing w:after="60" w:before="280"/>
      </w:pPr>
      <w:r>
        <w:rPr>
          <w:rFonts w:ascii="Consolas" w:cs="Consolas" w:eastAsia="Consolas" w:hAnsi="Consolas"/>
          <w:b/>
          <w:bCs/>
          <w:color w:val="1A1A1A"/>
          <w:sz w:val="26"/>
          <w:szCs w:val="26"/>
        </w:rPr>
        <w:t xml:space="preserve">analyze.durationcurve</w:t>
      </w:r>
    </w:p>
    <w:p>
      <w:pPr>
        <w:spacing w:after="120" w:before="0" w:line="276"/>
      </w:pPr>
      <w:r>
        <w:rPr>
          <w:rFonts w:ascii="Calibri" w:cs="Calibri" w:eastAsia="Calibri" w:hAnsi="Calibri"/>
          <w:b/>
          <w:bCs/>
          <w:color w:val="5A5A5A"/>
          <w:sz w:val="21"/>
          <w:szCs w:val="21"/>
        </w:rPr>
        <w:t xml:space="preserve">Load duration curve</w:t>
      </w:r>
    </w:p>
    <w:p>
      <w:pPr>
        <w:spacing w:after="120" w:before="0" w:line="276"/>
      </w:pPr>
      <w:r>
        <w:rPr>
          <w:rFonts w:ascii="Calibri" w:cs="Calibri" w:eastAsia="Calibri" w:hAnsi="Calibri"/>
          <w:color w:val="1A1A1A"/>
          <w:sz w:val="21"/>
          <w:szCs w:val="21"/>
        </w:rPr>
        <w:t xml:space="preserve">Demand sorted highest to lowest against the share of hours at or above each level.</w:t>
      </w:r>
    </w:p>
    <w:p>
      <w:pPr>
        <w:pBdr>
          <w:left w:val="single" w:color="BA0C2F" w:sz="12" w:space="6"/>
        </w:pBdr>
        <w:shd w:fill="F5F5F3" w:val="clear"/>
        <w:spacing w:after="100" w:before="60"/>
        <w:ind w:left="180"/>
      </w:pPr>
      <w:r>
        <w:rPr>
          <w:rFonts w:ascii="Consolas" w:cs="Consolas" w:eastAsia="Consolas" w:hAnsi="Consolas"/>
          <w:color w:val="1A1A1A"/>
          <w:sz w:val="18"/>
          <w:szCs w:val="18"/>
        </w:rPr>
        <w:t xml:space="preserve">analyze.durationcurve(ba, start, end, local = TRUE)</w:t>
      </w:r>
    </w:p>
    <w:tbl>
      <w:tblPr>
        <w:tblW w:type="dxa" w:w="9000"/>
        <w:tblBorders>
          <w:top w:val="single" w:color="D8D8D8" w:sz="6"/>
          <w:left w:val="none" w:color="FFFFFF" w:sz="0"/>
          <w:bottom w:val="single" w:color="D8D8D8" w:sz="6"/>
          <w:right w:val="none" w:color="FFFFFF" w:sz="0"/>
          <w:insideH w:val="single" w:color="D8D8D8" w:sz="4"/>
          <w:insideV w:val="none" w:color="FFFFFF" w:sz="0"/>
        </w:tblBorders>
      </w:tblPr>
      <w:tblGrid>
        <w:gridCol w:w="1500"/>
        <w:gridCol w:w="2200"/>
        <w:gridCol w:w="5300"/>
      </w:tblGrid>
      <w:tr>
        <w:trPr>
          <w:tblHeader/>
        </w:trPr>
        <w:tc>
          <w:tcPr>
            <w:tcW w:type="dxa" w:w="15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Argument</w:t>
            </w:r>
          </w:p>
        </w:tc>
        <w:tc>
          <w:tcPr>
            <w:tcW w:type="dxa" w:w="22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Default</w:t>
            </w:r>
          </w:p>
        </w:tc>
        <w:tc>
          <w:tcPr>
            <w:tcW w:type="dxa" w:w="53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What it controls</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ba</w:t>
            </w:r>
          </w:p>
        </w:tc>
        <w:tc>
          <w:tcPr>
            <w:tcW w:type="dxa" w:w="2200"/>
            <w:tcMar>
              <w:top w:type="dxa" w:w="60"/>
              <w:left w:type="dxa" w:w="100"/>
              <w:bottom w:type="dxa" w:w="60"/>
              <w:right w:type="dxa" w:w="100"/>
            </w:tcMar>
          </w:tcPr>
          <w:p>
            <w:pPr>
              <w:spacing w:after="120" w:before="0" w:line="276"/>
            </w:pPr>
            <w:r>
              <w:rPr>
                <w:rFonts w:ascii="Calibri" w:cs="Calibri" w:eastAsia="Calibri" w:hAnsi="Calibri"/>
                <w:i/>
                <w:iCs/>
                <w:color w:val="BA0C2F"/>
                <w:sz w:val="17"/>
                <w:szCs w:val="17"/>
              </w:rPr>
              <w:t xml:space="preserve">(required)</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Balancing authority code such as CISO. See essp.respondents().</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start</w:t>
            </w:r>
          </w:p>
        </w:tc>
        <w:tc>
          <w:tcPr>
            <w:tcW w:type="dxa" w:w="2200"/>
            <w:tcMar>
              <w:top w:type="dxa" w:w="60"/>
              <w:left w:type="dxa" w:w="100"/>
              <w:bottom w:type="dxa" w:w="60"/>
              <w:right w:type="dxa" w:w="100"/>
            </w:tcMar>
          </w:tcPr>
          <w:p>
            <w:pPr>
              <w:spacing w:after="120" w:before="0" w:line="276"/>
            </w:pPr>
            <w:r>
              <w:rPr>
                <w:rFonts w:ascii="Calibri" w:cs="Calibri" w:eastAsia="Calibri" w:hAnsi="Calibri"/>
                <w:i/>
                <w:iCs/>
                <w:color w:val="BA0C2F"/>
                <w:sz w:val="17"/>
                <w:szCs w:val="17"/>
              </w:rPr>
              <w:t xml:space="preserve">(required)</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Period lower bound in the route's own format.</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end</w:t>
            </w:r>
          </w:p>
        </w:tc>
        <w:tc>
          <w:tcPr>
            <w:tcW w:type="dxa" w:w="2200"/>
            <w:tcMar>
              <w:top w:type="dxa" w:w="60"/>
              <w:left w:type="dxa" w:w="100"/>
              <w:bottom w:type="dxa" w:w="60"/>
              <w:right w:type="dxa" w:w="100"/>
            </w:tcMar>
          </w:tcPr>
          <w:p>
            <w:pPr>
              <w:spacing w:after="120" w:before="0" w:line="276"/>
            </w:pPr>
            <w:r>
              <w:rPr>
                <w:rFonts w:ascii="Calibri" w:cs="Calibri" w:eastAsia="Calibri" w:hAnsi="Calibri"/>
                <w:i/>
                <w:iCs/>
                <w:color w:val="BA0C2F"/>
                <w:sz w:val="17"/>
                <w:szCs w:val="17"/>
              </w:rPr>
              <w:t xml:space="preserve">(required)</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Period upper bound in the route's own format.</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local</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TRUE</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Use the respondent's local time rather than UTC. Local time is what makes hour-of-day meaningful.</w:t>
            </w:r>
          </w:p>
        </w:tc>
      </w:tr>
    </w:tbl>
    <w:p>
      <w:pPr>
        <w:pStyle w:val="Heading2"/>
        <w:spacing w:after="60" w:before="280"/>
      </w:pPr>
      <w:r>
        <w:rPr>
          <w:rFonts w:ascii="Consolas" w:cs="Consolas" w:eastAsia="Consolas" w:hAnsi="Consolas"/>
          <w:b/>
          <w:bCs/>
          <w:color w:val="1A1A1A"/>
          <w:sz w:val="26"/>
          <w:szCs w:val="26"/>
        </w:rPr>
        <w:t xml:space="preserve">analyze.reservemargin</w:t>
      </w:r>
    </w:p>
    <w:p>
      <w:pPr>
        <w:spacing w:after="120" w:before="0" w:line="276"/>
      </w:pPr>
      <w:r>
        <w:rPr>
          <w:rFonts w:ascii="Calibri" w:cs="Calibri" w:eastAsia="Calibri" w:hAnsi="Calibri"/>
          <w:b/>
          <w:bCs/>
          <w:color w:val="5A5A5A"/>
          <w:sz w:val="21"/>
          <w:szCs w:val="21"/>
        </w:rPr>
        <w:t xml:space="preserve">Reserve margin against peak demand</w:t>
      </w:r>
    </w:p>
    <w:p>
      <w:pPr>
        <w:spacing w:after="120" w:before="0" w:line="276"/>
      </w:pPr>
      <w:r>
        <w:rPr>
          <w:rFonts w:ascii="Calibri" w:cs="Calibri" w:eastAsia="Calibri" w:hAnsi="Calibri"/>
          <w:color w:val="1A1A1A"/>
          <w:sz w:val="21"/>
          <w:szCs w:val="21"/>
        </w:rPr>
        <w:t xml:space="preserve">Installed capacity against observed peak demand. Nameplate headroom, not firm capacity: solar counts here but may deliver nothing at an evening peak.</w:t>
      </w:r>
    </w:p>
    <w:p>
      <w:pPr>
        <w:pBdr>
          <w:left w:val="single" w:color="BA0C2F" w:sz="12" w:space="6"/>
        </w:pBdr>
        <w:shd w:fill="F5F5F3" w:val="clear"/>
        <w:spacing w:after="100" w:before="60"/>
        <w:ind w:left="180"/>
      </w:pPr>
      <w:r>
        <w:rPr>
          <w:rFonts w:ascii="Consolas" w:cs="Consolas" w:eastAsia="Consolas" w:hAnsi="Consolas"/>
          <w:color w:val="1A1A1A"/>
          <w:sz w:val="18"/>
          <w:szCs w:val="18"/>
        </w:rPr>
        <w:t xml:space="preserve">analyze.reservemargin(ba, year, basis = c("summer", "nameplate", "winter"), status = "OP")</w:t>
      </w:r>
    </w:p>
    <w:tbl>
      <w:tblPr>
        <w:tblW w:type="dxa" w:w="9000"/>
        <w:tblBorders>
          <w:top w:val="single" w:color="D8D8D8" w:sz="6"/>
          <w:left w:val="none" w:color="FFFFFF" w:sz="0"/>
          <w:bottom w:val="single" w:color="D8D8D8" w:sz="6"/>
          <w:right w:val="none" w:color="FFFFFF" w:sz="0"/>
          <w:insideH w:val="single" w:color="D8D8D8" w:sz="4"/>
          <w:insideV w:val="none" w:color="FFFFFF" w:sz="0"/>
        </w:tblBorders>
      </w:tblPr>
      <w:tblGrid>
        <w:gridCol w:w="1500"/>
        <w:gridCol w:w="2200"/>
        <w:gridCol w:w="5300"/>
      </w:tblGrid>
      <w:tr>
        <w:trPr>
          <w:tblHeader/>
        </w:trPr>
        <w:tc>
          <w:tcPr>
            <w:tcW w:type="dxa" w:w="15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Argument</w:t>
            </w:r>
          </w:p>
        </w:tc>
        <w:tc>
          <w:tcPr>
            <w:tcW w:type="dxa" w:w="22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Default</w:t>
            </w:r>
          </w:p>
        </w:tc>
        <w:tc>
          <w:tcPr>
            <w:tcW w:type="dxa" w:w="53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What it controls</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ba</w:t>
            </w:r>
          </w:p>
        </w:tc>
        <w:tc>
          <w:tcPr>
            <w:tcW w:type="dxa" w:w="2200"/>
            <w:tcMar>
              <w:top w:type="dxa" w:w="60"/>
              <w:left w:type="dxa" w:w="100"/>
              <w:bottom w:type="dxa" w:w="60"/>
              <w:right w:type="dxa" w:w="100"/>
            </w:tcMar>
          </w:tcPr>
          <w:p>
            <w:pPr>
              <w:spacing w:after="120" w:before="0" w:line="276"/>
            </w:pPr>
            <w:r>
              <w:rPr>
                <w:rFonts w:ascii="Calibri" w:cs="Calibri" w:eastAsia="Calibri" w:hAnsi="Calibri"/>
                <w:i/>
                <w:iCs/>
                <w:color w:val="BA0C2F"/>
                <w:sz w:val="17"/>
                <w:szCs w:val="17"/>
              </w:rPr>
              <w:t xml:space="preserve">(required)</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Balancing authority code such as CISO. See essp.respondents().</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year</w:t>
            </w:r>
          </w:p>
        </w:tc>
        <w:tc>
          <w:tcPr>
            <w:tcW w:type="dxa" w:w="2200"/>
            <w:tcMar>
              <w:top w:type="dxa" w:w="60"/>
              <w:left w:type="dxa" w:w="100"/>
              <w:bottom w:type="dxa" w:w="60"/>
              <w:right w:type="dxa" w:w="100"/>
            </w:tcMar>
          </w:tcPr>
          <w:p>
            <w:pPr>
              <w:spacing w:after="120" w:before="0" w:line="276"/>
            </w:pPr>
            <w:r>
              <w:rPr>
                <w:rFonts w:ascii="Calibri" w:cs="Calibri" w:eastAsia="Calibri" w:hAnsi="Calibri"/>
                <w:i/>
                <w:iCs/>
                <w:color w:val="BA0C2F"/>
                <w:sz w:val="17"/>
                <w:szCs w:val="17"/>
              </w:rPr>
              <w:t xml:space="preserve">(required)</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Calendar year.</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basis</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c("summer", "nameplate", "winter")</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Capacity basis: nameplate, net summer or net winter. EIA's published capacity factors use summer.</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status</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"OP"</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Generator operating status codes to include. OP is operating.</w:t>
            </w:r>
          </w:p>
        </w:tc>
      </w:tr>
    </w:tbl>
    <w:p>
      <w:pPr>
        <w:pStyle w:val="Heading2"/>
        <w:spacing w:after="60" w:before="280"/>
      </w:pPr>
      <w:r>
        <w:rPr>
          <w:rFonts w:ascii="Consolas" w:cs="Consolas" w:eastAsia="Consolas" w:hAnsi="Consolas"/>
          <w:b/>
          <w:bCs/>
          <w:color w:val="1A1A1A"/>
          <w:sz w:val="26"/>
          <w:szCs w:val="26"/>
        </w:rPr>
        <w:t xml:space="preserve">analyze.imports</w:t>
      </w:r>
    </w:p>
    <w:p>
      <w:pPr>
        <w:spacing w:after="120" w:before="0" w:line="276"/>
      </w:pPr>
      <w:r>
        <w:rPr>
          <w:rFonts w:ascii="Calibri" w:cs="Calibri" w:eastAsia="Calibri" w:hAnsi="Calibri"/>
          <w:b/>
          <w:bCs/>
          <w:color w:val="5A5A5A"/>
          <w:sz w:val="21"/>
          <w:szCs w:val="21"/>
        </w:rPr>
        <w:t xml:space="preserve">Net interchange as a share of demand</w:t>
      </w:r>
    </w:p>
    <w:p>
      <w:pPr>
        <w:spacing w:after="120" w:before="0" w:line="276"/>
      </w:pPr>
      <w:r>
        <w:rPr>
          <w:rFonts w:ascii="Calibri" w:cs="Calibri" w:eastAsia="Calibri" w:hAnsi="Calibri"/>
          <w:color w:val="1A1A1A"/>
          <w:sz w:val="21"/>
          <w:szCs w:val="21"/>
        </w:rPr>
        <w:t xml:space="preserve">Net interchange as a share of demand.</w:t>
      </w:r>
    </w:p>
    <w:p>
      <w:pPr>
        <w:pBdr>
          <w:left w:val="single" w:color="BA0C2F" w:sz="12" w:space="6"/>
        </w:pBdr>
        <w:shd w:fill="F5F5F3" w:val="clear"/>
        <w:spacing w:after="100" w:before="60"/>
        <w:ind w:left="180"/>
      </w:pPr>
      <w:r>
        <w:rPr>
          <w:rFonts w:ascii="Consolas" w:cs="Consolas" w:eastAsia="Consolas" w:hAnsi="Consolas"/>
          <w:color w:val="1A1A1A"/>
          <w:sz w:val="18"/>
          <w:szCs w:val="18"/>
        </w:rPr>
        <w:t xml:space="preserve">analyze.imports(ba, start, end, local = TRUE)</w:t>
      </w:r>
    </w:p>
    <w:tbl>
      <w:tblPr>
        <w:tblW w:type="dxa" w:w="9000"/>
        <w:tblBorders>
          <w:top w:val="single" w:color="D8D8D8" w:sz="6"/>
          <w:left w:val="none" w:color="FFFFFF" w:sz="0"/>
          <w:bottom w:val="single" w:color="D8D8D8" w:sz="6"/>
          <w:right w:val="none" w:color="FFFFFF" w:sz="0"/>
          <w:insideH w:val="single" w:color="D8D8D8" w:sz="4"/>
          <w:insideV w:val="none" w:color="FFFFFF" w:sz="0"/>
        </w:tblBorders>
      </w:tblPr>
      <w:tblGrid>
        <w:gridCol w:w="1500"/>
        <w:gridCol w:w="2200"/>
        <w:gridCol w:w="5300"/>
      </w:tblGrid>
      <w:tr>
        <w:trPr>
          <w:tblHeader/>
        </w:trPr>
        <w:tc>
          <w:tcPr>
            <w:tcW w:type="dxa" w:w="15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Argument</w:t>
            </w:r>
          </w:p>
        </w:tc>
        <w:tc>
          <w:tcPr>
            <w:tcW w:type="dxa" w:w="22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Default</w:t>
            </w:r>
          </w:p>
        </w:tc>
        <w:tc>
          <w:tcPr>
            <w:tcW w:type="dxa" w:w="53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What it controls</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ba</w:t>
            </w:r>
          </w:p>
        </w:tc>
        <w:tc>
          <w:tcPr>
            <w:tcW w:type="dxa" w:w="2200"/>
            <w:tcMar>
              <w:top w:type="dxa" w:w="60"/>
              <w:left w:type="dxa" w:w="100"/>
              <w:bottom w:type="dxa" w:w="60"/>
              <w:right w:type="dxa" w:w="100"/>
            </w:tcMar>
          </w:tcPr>
          <w:p>
            <w:pPr>
              <w:spacing w:after="120" w:before="0" w:line="276"/>
            </w:pPr>
            <w:r>
              <w:rPr>
                <w:rFonts w:ascii="Calibri" w:cs="Calibri" w:eastAsia="Calibri" w:hAnsi="Calibri"/>
                <w:i/>
                <w:iCs/>
                <w:color w:val="BA0C2F"/>
                <w:sz w:val="17"/>
                <w:szCs w:val="17"/>
              </w:rPr>
              <w:t xml:space="preserve">(required)</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Balancing authority code such as CISO. See essp.respondents().</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start</w:t>
            </w:r>
          </w:p>
        </w:tc>
        <w:tc>
          <w:tcPr>
            <w:tcW w:type="dxa" w:w="2200"/>
            <w:tcMar>
              <w:top w:type="dxa" w:w="60"/>
              <w:left w:type="dxa" w:w="100"/>
              <w:bottom w:type="dxa" w:w="60"/>
              <w:right w:type="dxa" w:w="100"/>
            </w:tcMar>
          </w:tcPr>
          <w:p>
            <w:pPr>
              <w:spacing w:after="120" w:before="0" w:line="276"/>
            </w:pPr>
            <w:r>
              <w:rPr>
                <w:rFonts w:ascii="Calibri" w:cs="Calibri" w:eastAsia="Calibri" w:hAnsi="Calibri"/>
                <w:i/>
                <w:iCs/>
                <w:color w:val="BA0C2F"/>
                <w:sz w:val="17"/>
                <w:szCs w:val="17"/>
              </w:rPr>
              <w:t xml:space="preserve">(required)</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Period lower bound in the route's own format.</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end</w:t>
            </w:r>
          </w:p>
        </w:tc>
        <w:tc>
          <w:tcPr>
            <w:tcW w:type="dxa" w:w="2200"/>
            <w:tcMar>
              <w:top w:type="dxa" w:w="60"/>
              <w:left w:type="dxa" w:w="100"/>
              <w:bottom w:type="dxa" w:w="60"/>
              <w:right w:type="dxa" w:w="100"/>
            </w:tcMar>
          </w:tcPr>
          <w:p>
            <w:pPr>
              <w:spacing w:after="120" w:before="0" w:line="276"/>
            </w:pPr>
            <w:r>
              <w:rPr>
                <w:rFonts w:ascii="Calibri" w:cs="Calibri" w:eastAsia="Calibri" w:hAnsi="Calibri"/>
                <w:i/>
                <w:iCs/>
                <w:color w:val="BA0C2F"/>
                <w:sz w:val="17"/>
                <w:szCs w:val="17"/>
              </w:rPr>
              <w:t xml:space="preserve">(required)</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Period upper bound in the route's own format.</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local</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TRUE</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Use the respondent's local time rather than UTC. Local time is what makes hour-of-day meaningful.</w:t>
            </w:r>
          </w:p>
        </w:tc>
      </w:tr>
    </w:tbl>
    <w:p>
      <w:pPr>
        <w:pStyle w:val="Heading2"/>
        <w:spacing w:after="60" w:before="280"/>
      </w:pPr>
      <w:r>
        <w:rPr>
          <w:rFonts w:ascii="Consolas" w:cs="Consolas" w:eastAsia="Consolas" w:hAnsi="Consolas"/>
          <w:b/>
          <w:bCs/>
          <w:color w:val="1A1A1A"/>
          <w:sz w:val="26"/>
          <w:szCs w:val="26"/>
        </w:rPr>
        <w:t xml:space="preserve">analyze.storage</w:t>
      </w:r>
    </w:p>
    <w:p>
      <w:pPr>
        <w:spacing w:after="120" w:before="0" w:line="276"/>
      </w:pPr>
      <w:r>
        <w:rPr>
          <w:rFonts w:ascii="Calibri" w:cs="Calibri" w:eastAsia="Calibri" w:hAnsi="Calibri"/>
          <w:b/>
          <w:bCs/>
          <w:color w:val="5A5A5A"/>
          <w:sz w:val="21"/>
          <w:szCs w:val="21"/>
        </w:rPr>
        <w:t xml:space="preserve">Hourly battery charge and discharge</w:t>
      </w:r>
    </w:p>
    <w:p>
      <w:pPr>
        <w:spacing w:after="120" w:before="0" w:line="276"/>
      </w:pPr>
      <w:r>
        <w:rPr>
          <w:rFonts w:ascii="Calibri" w:cs="Calibri" w:eastAsia="Calibri" w:hAnsi="Calibri"/>
          <w:color w:val="1A1A1A"/>
          <w:sz w:val="21"/>
          <w:szCs w:val="21"/>
        </w:rPr>
        <w:t xml:space="preserve">Splits the EIA battery series into charging and discharging by hour, and derives the implied round-trip efficiency.</w:t>
      </w:r>
    </w:p>
    <w:p>
      <w:pPr>
        <w:pBdr>
          <w:left w:val="single" w:color="BA0C2F" w:sz="12" w:space="6"/>
        </w:pBdr>
        <w:shd w:fill="F5F5F3" w:val="clear"/>
        <w:spacing w:after="100" w:before="60"/>
        <w:ind w:left="180"/>
      </w:pPr>
      <w:r>
        <w:rPr>
          <w:rFonts w:ascii="Consolas" w:cs="Consolas" w:eastAsia="Consolas" w:hAnsi="Consolas"/>
          <w:color w:val="1A1A1A"/>
          <w:sz w:val="18"/>
          <w:szCs w:val="18"/>
        </w:rPr>
        <w:t xml:space="preserve">analyze.storage(ba, start, end, local = TRUE)</w:t>
      </w:r>
    </w:p>
    <w:tbl>
      <w:tblPr>
        <w:tblW w:type="dxa" w:w="9000"/>
        <w:tblBorders>
          <w:top w:val="single" w:color="D8D8D8" w:sz="6"/>
          <w:left w:val="none" w:color="FFFFFF" w:sz="0"/>
          <w:bottom w:val="single" w:color="D8D8D8" w:sz="6"/>
          <w:right w:val="none" w:color="FFFFFF" w:sz="0"/>
          <w:insideH w:val="single" w:color="D8D8D8" w:sz="4"/>
          <w:insideV w:val="none" w:color="FFFFFF" w:sz="0"/>
        </w:tblBorders>
      </w:tblPr>
      <w:tblGrid>
        <w:gridCol w:w="1500"/>
        <w:gridCol w:w="2200"/>
        <w:gridCol w:w="5300"/>
      </w:tblGrid>
      <w:tr>
        <w:trPr>
          <w:tblHeader/>
        </w:trPr>
        <w:tc>
          <w:tcPr>
            <w:tcW w:type="dxa" w:w="15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Argument</w:t>
            </w:r>
          </w:p>
        </w:tc>
        <w:tc>
          <w:tcPr>
            <w:tcW w:type="dxa" w:w="22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Default</w:t>
            </w:r>
          </w:p>
        </w:tc>
        <w:tc>
          <w:tcPr>
            <w:tcW w:type="dxa" w:w="53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What it controls</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ba</w:t>
            </w:r>
          </w:p>
        </w:tc>
        <w:tc>
          <w:tcPr>
            <w:tcW w:type="dxa" w:w="2200"/>
            <w:tcMar>
              <w:top w:type="dxa" w:w="60"/>
              <w:left w:type="dxa" w:w="100"/>
              <w:bottom w:type="dxa" w:w="60"/>
              <w:right w:type="dxa" w:w="100"/>
            </w:tcMar>
          </w:tcPr>
          <w:p>
            <w:pPr>
              <w:spacing w:after="120" w:before="0" w:line="276"/>
            </w:pPr>
            <w:r>
              <w:rPr>
                <w:rFonts w:ascii="Calibri" w:cs="Calibri" w:eastAsia="Calibri" w:hAnsi="Calibri"/>
                <w:i/>
                <w:iCs/>
                <w:color w:val="BA0C2F"/>
                <w:sz w:val="17"/>
                <w:szCs w:val="17"/>
              </w:rPr>
              <w:t xml:space="preserve">(required)</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Balancing authority code such as CISO. See essp.respondents().</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start</w:t>
            </w:r>
          </w:p>
        </w:tc>
        <w:tc>
          <w:tcPr>
            <w:tcW w:type="dxa" w:w="2200"/>
            <w:tcMar>
              <w:top w:type="dxa" w:w="60"/>
              <w:left w:type="dxa" w:w="100"/>
              <w:bottom w:type="dxa" w:w="60"/>
              <w:right w:type="dxa" w:w="100"/>
            </w:tcMar>
          </w:tcPr>
          <w:p>
            <w:pPr>
              <w:spacing w:after="120" w:before="0" w:line="276"/>
            </w:pPr>
            <w:r>
              <w:rPr>
                <w:rFonts w:ascii="Calibri" w:cs="Calibri" w:eastAsia="Calibri" w:hAnsi="Calibri"/>
                <w:i/>
                <w:iCs/>
                <w:color w:val="BA0C2F"/>
                <w:sz w:val="17"/>
                <w:szCs w:val="17"/>
              </w:rPr>
              <w:t xml:space="preserve">(required)</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Period lower bound in the route's own format.</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end</w:t>
            </w:r>
          </w:p>
        </w:tc>
        <w:tc>
          <w:tcPr>
            <w:tcW w:type="dxa" w:w="2200"/>
            <w:tcMar>
              <w:top w:type="dxa" w:w="60"/>
              <w:left w:type="dxa" w:w="100"/>
              <w:bottom w:type="dxa" w:w="60"/>
              <w:right w:type="dxa" w:w="100"/>
            </w:tcMar>
          </w:tcPr>
          <w:p>
            <w:pPr>
              <w:spacing w:after="120" w:before="0" w:line="276"/>
            </w:pPr>
            <w:r>
              <w:rPr>
                <w:rFonts w:ascii="Calibri" w:cs="Calibri" w:eastAsia="Calibri" w:hAnsi="Calibri"/>
                <w:i/>
                <w:iCs/>
                <w:color w:val="BA0C2F"/>
                <w:sz w:val="17"/>
                <w:szCs w:val="17"/>
              </w:rPr>
              <w:t xml:space="preserve">(required)</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Period upper bound in the route's own format.</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local</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TRUE</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Use the respondent's local time rather than UTC. Local time is what makes hour-of-day meaningful.</w:t>
            </w:r>
          </w:p>
        </w:tc>
      </w:tr>
    </w:tbl>
    <w:p>
      <w:pPr>
        <w:pStyle w:val="Heading2"/>
        <w:spacing w:after="60" w:before="280"/>
      </w:pPr>
      <w:r>
        <w:rPr>
          <w:rFonts w:ascii="Consolas" w:cs="Consolas" w:eastAsia="Consolas" w:hAnsi="Consolas"/>
          <w:b/>
          <w:bCs/>
          <w:color w:val="1A1A1A"/>
          <w:sz w:val="26"/>
          <w:szCs w:val="26"/>
        </w:rPr>
        <w:t xml:space="preserve">analyze.storagedisplace</w:t>
      </w:r>
    </w:p>
    <w:p>
      <w:pPr>
        <w:spacing w:after="120" w:before="0" w:line="276"/>
      </w:pPr>
      <w:r>
        <w:rPr>
          <w:rFonts w:ascii="Calibri" w:cs="Calibri" w:eastAsia="Calibri" w:hAnsi="Calibri"/>
          <w:b/>
          <w:bCs/>
          <w:color w:val="5A5A5A"/>
          <w:sz w:val="21"/>
          <w:szCs w:val="21"/>
        </w:rPr>
        <w:t xml:space="preserve">Insert battery discharge into the dispatch stack</w:t>
      </w:r>
    </w:p>
    <w:p>
      <w:pPr>
        <w:spacing w:after="120" w:before="0" w:line="276"/>
      </w:pPr>
      <w:r>
        <w:rPr>
          <w:rFonts w:ascii="Calibri" w:cs="Calibri" w:eastAsia="Calibri" w:hAnsi="Calibri"/>
          <w:color w:val="1A1A1A"/>
          <w:sz w:val="21"/>
          <w:szCs w:val="21"/>
        </w:rPr>
        <w:t xml:space="preserve">Adds a storage band to the stack and subtracts the same energy from the plant it displaces, so the total is unchanged. Batteries substitute for generation rather than adding to it.</w:t>
      </w:r>
    </w:p>
    <w:p>
      <w:pPr>
        <w:pBdr>
          <w:left w:val="single" w:color="BA0C2F" w:sz="12" w:space="6"/>
        </w:pBdr>
        <w:shd w:fill="F5F5F3" w:val="clear"/>
        <w:spacing w:after="100" w:before="60"/>
        <w:ind w:left="180"/>
      </w:pPr>
      <w:r>
        <w:rPr>
          <w:rFonts w:ascii="Consolas" w:cs="Consolas" w:eastAsia="Consolas" w:hAnsi="Consolas"/>
          <w:color w:val="1A1A1A"/>
          <w:sz w:val="18"/>
          <w:szCs w:val="18"/>
        </w:rPr>
        <w:t xml:space="preserve">analyze.storagedisplace(data, storage, displaces = c("NG Peakers", "NGCT", "NGCC", "NG"))</w:t>
      </w:r>
    </w:p>
    <w:tbl>
      <w:tblPr>
        <w:tblW w:type="dxa" w:w="9000"/>
        <w:tblBorders>
          <w:top w:val="single" w:color="D8D8D8" w:sz="6"/>
          <w:left w:val="none" w:color="FFFFFF" w:sz="0"/>
          <w:bottom w:val="single" w:color="D8D8D8" w:sz="6"/>
          <w:right w:val="none" w:color="FFFFFF" w:sz="0"/>
          <w:insideH w:val="single" w:color="D8D8D8" w:sz="4"/>
          <w:insideV w:val="none" w:color="FFFFFF" w:sz="0"/>
        </w:tblBorders>
      </w:tblPr>
      <w:tblGrid>
        <w:gridCol w:w="1500"/>
        <w:gridCol w:w="2200"/>
        <w:gridCol w:w="5300"/>
      </w:tblGrid>
      <w:tr>
        <w:trPr>
          <w:tblHeader/>
        </w:trPr>
        <w:tc>
          <w:tcPr>
            <w:tcW w:type="dxa" w:w="15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Argument</w:t>
            </w:r>
          </w:p>
        </w:tc>
        <w:tc>
          <w:tcPr>
            <w:tcW w:type="dxa" w:w="22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Default</w:t>
            </w:r>
          </w:p>
        </w:tc>
        <w:tc>
          <w:tcPr>
            <w:tcW w:type="dxa" w:w="53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What it controls</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data</w:t>
            </w:r>
          </w:p>
        </w:tc>
        <w:tc>
          <w:tcPr>
            <w:tcW w:type="dxa" w:w="2200"/>
            <w:tcMar>
              <w:top w:type="dxa" w:w="60"/>
              <w:left w:type="dxa" w:w="100"/>
              <w:bottom w:type="dxa" w:w="60"/>
              <w:right w:type="dxa" w:w="100"/>
            </w:tcMar>
          </w:tcPr>
          <w:p>
            <w:pPr>
              <w:spacing w:after="120" w:before="0" w:line="276"/>
            </w:pPr>
            <w:r>
              <w:rPr>
                <w:rFonts w:ascii="Calibri" w:cs="Calibri" w:eastAsia="Calibri" w:hAnsi="Calibri"/>
                <w:i/>
                <w:iCs/>
                <w:color w:val="BA0C2F"/>
                <w:sz w:val="17"/>
                <w:szCs w:val="17"/>
              </w:rPr>
              <w:t xml:space="preserve">(required)</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A data frame, normally the output of the gather or analysis step named in the description.</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storage</w:t>
            </w:r>
          </w:p>
        </w:tc>
        <w:tc>
          <w:tcPr>
            <w:tcW w:type="dxa" w:w="2200"/>
            <w:tcMar>
              <w:top w:type="dxa" w:w="60"/>
              <w:left w:type="dxa" w:w="100"/>
              <w:bottom w:type="dxa" w:w="60"/>
              <w:right w:type="dxa" w:w="100"/>
            </w:tcMar>
          </w:tcPr>
          <w:p>
            <w:pPr>
              <w:spacing w:after="120" w:before="0" w:line="276"/>
            </w:pPr>
            <w:r>
              <w:rPr>
                <w:rFonts w:ascii="Calibri" w:cs="Calibri" w:eastAsia="Calibri" w:hAnsi="Calibri"/>
                <w:i/>
                <w:iCs/>
                <w:color w:val="BA0C2F"/>
                <w:sz w:val="17"/>
                <w:szCs w:val="17"/>
              </w:rPr>
              <w:t xml:space="preserve">(required)</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Output of analyze.storage().</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displaces</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c("NG Peakers", "NGCT", "NGCC", "NG")</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Fuel codes to displace, in merit order.</w:t>
            </w:r>
          </w:p>
        </w:tc>
      </w:tr>
    </w:tbl>
    <w:p>
      <w:pPr>
        <w:pStyle w:val="Heading2"/>
        <w:spacing w:after="60" w:before="280"/>
      </w:pPr>
      <w:r>
        <w:rPr>
          <w:rFonts w:ascii="Consolas" w:cs="Consolas" w:eastAsia="Consolas" w:hAnsi="Consolas"/>
          <w:b/>
          <w:bCs/>
          <w:color w:val="1A1A1A"/>
          <w:sz w:val="26"/>
          <w:szCs w:val="26"/>
        </w:rPr>
        <w:t xml:space="preserve">analyze.gasfleet</w:t>
      </w:r>
    </w:p>
    <w:p>
      <w:pPr>
        <w:spacing w:after="120" w:before="0" w:line="276"/>
      </w:pPr>
      <w:r>
        <w:rPr>
          <w:rFonts w:ascii="Calibri" w:cs="Calibri" w:eastAsia="Calibri" w:hAnsi="Calibri"/>
          <w:b/>
          <w:bCs/>
          <w:color w:val="5A5A5A"/>
          <w:sz w:val="21"/>
          <w:szCs w:val="21"/>
        </w:rPr>
        <w:t xml:space="preserve">Gas fleet capacity and generation by plant type</w:t>
      </w:r>
    </w:p>
    <w:p>
      <w:pPr>
        <w:spacing w:after="120" w:before="0" w:line="276"/>
      </w:pPr>
      <w:r>
        <w:rPr>
          <w:rFonts w:ascii="Calibri" w:cs="Calibri" w:eastAsia="Calibri" w:hAnsi="Calibri"/>
          <w:color w:val="1A1A1A"/>
          <w:sz w:val="21"/>
          <w:szCs w:val="21"/>
        </w:rPr>
        <w:t xml:space="preserve">Gas capacity and generation grouped into combined cycle, steam and peakers.</w:t>
      </w:r>
    </w:p>
    <w:p>
      <w:pPr>
        <w:pBdr>
          <w:left w:val="single" w:color="BA0C2F" w:sz="12" w:space="6"/>
        </w:pBdr>
        <w:shd w:fill="F5F5F3" w:val="clear"/>
        <w:spacing w:after="100" w:before="60"/>
        <w:ind w:left="180"/>
      </w:pPr>
      <w:r>
        <w:rPr>
          <w:rFonts w:ascii="Consolas" w:cs="Consolas" w:eastAsia="Consolas" w:hAnsi="Consolas"/>
          <w:color w:val="1A1A1A"/>
          <w:sz w:val="18"/>
          <w:szCs w:val="18"/>
        </w:rPr>
        <w:t xml:space="preserve">analyze.gasfleet(state = NULL, ba = NULL, year)</w:t>
      </w:r>
    </w:p>
    <w:tbl>
      <w:tblPr>
        <w:tblW w:type="dxa" w:w="9000"/>
        <w:tblBorders>
          <w:top w:val="single" w:color="D8D8D8" w:sz="6"/>
          <w:left w:val="none" w:color="FFFFFF" w:sz="0"/>
          <w:bottom w:val="single" w:color="D8D8D8" w:sz="6"/>
          <w:right w:val="none" w:color="FFFFFF" w:sz="0"/>
          <w:insideH w:val="single" w:color="D8D8D8" w:sz="4"/>
          <w:insideV w:val="none" w:color="FFFFFF" w:sz="0"/>
        </w:tblBorders>
      </w:tblPr>
      <w:tblGrid>
        <w:gridCol w:w="1500"/>
        <w:gridCol w:w="2200"/>
        <w:gridCol w:w="5300"/>
      </w:tblGrid>
      <w:tr>
        <w:trPr>
          <w:tblHeader/>
        </w:trPr>
        <w:tc>
          <w:tcPr>
            <w:tcW w:type="dxa" w:w="15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Argument</w:t>
            </w:r>
          </w:p>
        </w:tc>
        <w:tc>
          <w:tcPr>
            <w:tcW w:type="dxa" w:w="22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Default</w:t>
            </w:r>
          </w:p>
        </w:tc>
        <w:tc>
          <w:tcPr>
            <w:tcW w:type="dxa" w:w="53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What it controls</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state</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NULL</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State code such as GA, a vector of them, or US for the national figure.</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ba</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NULL</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Balancing authority code such as CISO. See essp.respondents().</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year</w:t>
            </w:r>
          </w:p>
        </w:tc>
        <w:tc>
          <w:tcPr>
            <w:tcW w:type="dxa" w:w="2200"/>
            <w:tcMar>
              <w:top w:type="dxa" w:w="60"/>
              <w:left w:type="dxa" w:w="100"/>
              <w:bottom w:type="dxa" w:w="60"/>
              <w:right w:type="dxa" w:w="100"/>
            </w:tcMar>
          </w:tcPr>
          <w:p>
            <w:pPr>
              <w:spacing w:after="120" w:before="0" w:line="276"/>
            </w:pPr>
            <w:r>
              <w:rPr>
                <w:rFonts w:ascii="Calibri" w:cs="Calibri" w:eastAsia="Calibri" w:hAnsi="Calibri"/>
                <w:i/>
                <w:iCs/>
                <w:color w:val="BA0C2F"/>
                <w:sz w:val="17"/>
                <w:szCs w:val="17"/>
              </w:rPr>
              <w:t xml:space="preserve">(required)</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Calendar year.</w:t>
            </w:r>
          </w:p>
        </w:tc>
      </w:tr>
    </w:tbl>
    <w:p>
      <w:pPr>
        <w:pStyle w:val="Heading2"/>
        <w:spacing w:after="60" w:before="280"/>
      </w:pPr>
      <w:r>
        <w:rPr>
          <w:rFonts w:ascii="Consolas" w:cs="Consolas" w:eastAsia="Consolas" w:hAnsi="Consolas"/>
          <w:b/>
          <w:bCs/>
          <w:color w:val="1A1A1A"/>
          <w:sz w:val="26"/>
          <w:szCs w:val="26"/>
        </w:rPr>
        <w:t xml:space="preserve">analyze.gassplit</w:t>
      </w:r>
    </w:p>
    <w:p>
      <w:pPr>
        <w:spacing w:after="120" w:before="0" w:line="276"/>
      </w:pPr>
      <w:r>
        <w:rPr>
          <w:rFonts w:ascii="Calibri" w:cs="Calibri" w:eastAsia="Calibri" w:hAnsi="Calibri"/>
          <w:b/>
          <w:bCs/>
          <w:color w:val="5A5A5A"/>
          <w:sz w:val="21"/>
          <w:szCs w:val="21"/>
        </w:rPr>
        <w:t xml:space="preserve">Split the hourly gas band into combined cycle, steam, and peakers</w:t>
      </w:r>
    </w:p>
    <w:p>
      <w:pPr>
        <w:spacing w:after="120" w:before="0" w:line="276"/>
      </w:pPr>
      <w:r>
        <w:rPr>
          <w:rFonts w:ascii="Calibri" w:cs="Calibri" w:eastAsia="Calibri" w:hAnsi="Calibri"/>
          <w:color w:val="1A1A1A"/>
          <w:sz w:val="21"/>
          <w:szCs w:val="21"/>
        </w:rPr>
        <w:t xml:space="preserve">Splits the single hourly gas series into plant types by dispatch order, using Form 860 capacity and Form 923 generation.</w:t>
      </w:r>
    </w:p>
    <w:p>
      <w:pPr>
        <w:pBdr>
          <w:left w:val="single" w:color="BA0C2F" w:sz="12" w:space="6"/>
        </w:pBdr>
        <w:shd w:fill="F5F5F3" w:val="clear"/>
        <w:spacing w:after="100" w:before="60"/>
        <w:ind w:left="180"/>
      </w:pPr>
      <w:r>
        <w:rPr>
          <w:rFonts w:ascii="Consolas" w:cs="Consolas" w:eastAsia="Consolas" w:hAnsi="Consolas"/>
          <w:color w:val="1A1A1A"/>
          <w:sz w:val="18"/>
          <w:szCs w:val="18"/>
        </w:rPr>
        <w:t xml:space="preserve">analyze.gassplit(data, ba, year, availability = 0.85, fleet = NULL)</w:t>
      </w:r>
    </w:p>
    <w:tbl>
      <w:tblPr>
        <w:tblW w:type="dxa" w:w="9000"/>
        <w:tblBorders>
          <w:top w:val="single" w:color="D8D8D8" w:sz="6"/>
          <w:left w:val="none" w:color="FFFFFF" w:sz="0"/>
          <w:bottom w:val="single" w:color="D8D8D8" w:sz="6"/>
          <w:right w:val="none" w:color="FFFFFF" w:sz="0"/>
          <w:insideH w:val="single" w:color="D8D8D8" w:sz="4"/>
          <w:insideV w:val="none" w:color="FFFFFF" w:sz="0"/>
        </w:tblBorders>
      </w:tblPr>
      <w:tblGrid>
        <w:gridCol w:w="1500"/>
        <w:gridCol w:w="2200"/>
        <w:gridCol w:w="5300"/>
      </w:tblGrid>
      <w:tr>
        <w:trPr>
          <w:tblHeader/>
        </w:trPr>
        <w:tc>
          <w:tcPr>
            <w:tcW w:type="dxa" w:w="15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Argument</w:t>
            </w:r>
          </w:p>
        </w:tc>
        <w:tc>
          <w:tcPr>
            <w:tcW w:type="dxa" w:w="22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Default</w:t>
            </w:r>
          </w:p>
        </w:tc>
        <w:tc>
          <w:tcPr>
            <w:tcW w:type="dxa" w:w="53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What it controls</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data</w:t>
            </w:r>
          </w:p>
        </w:tc>
        <w:tc>
          <w:tcPr>
            <w:tcW w:type="dxa" w:w="2200"/>
            <w:tcMar>
              <w:top w:type="dxa" w:w="60"/>
              <w:left w:type="dxa" w:w="100"/>
              <w:bottom w:type="dxa" w:w="60"/>
              <w:right w:type="dxa" w:w="100"/>
            </w:tcMar>
          </w:tcPr>
          <w:p>
            <w:pPr>
              <w:spacing w:after="120" w:before="0" w:line="276"/>
            </w:pPr>
            <w:r>
              <w:rPr>
                <w:rFonts w:ascii="Calibri" w:cs="Calibri" w:eastAsia="Calibri" w:hAnsi="Calibri"/>
                <w:i/>
                <w:iCs/>
                <w:color w:val="BA0C2F"/>
                <w:sz w:val="17"/>
                <w:szCs w:val="17"/>
              </w:rPr>
              <w:t xml:space="preserve">(required)</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A data frame, normally the output of the gather or analysis step named in the description.</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ba</w:t>
            </w:r>
          </w:p>
        </w:tc>
        <w:tc>
          <w:tcPr>
            <w:tcW w:type="dxa" w:w="2200"/>
            <w:tcMar>
              <w:top w:type="dxa" w:w="60"/>
              <w:left w:type="dxa" w:w="100"/>
              <w:bottom w:type="dxa" w:w="60"/>
              <w:right w:type="dxa" w:w="100"/>
            </w:tcMar>
          </w:tcPr>
          <w:p>
            <w:pPr>
              <w:spacing w:after="120" w:before="0" w:line="276"/>
            </w:pPr>
            <w:r>
              <w:rPr>
                <w:rFonts w:ascii="Calibri" w:cs="Calibri" w:eastAsia="Calibri" w:hAnsi="Calibri"/>
                <w:i/>
                <w:iCs/>
                <w:color w:val="BA0C2F"/>
                <w:sz w:val="17"/>
                <w:szCs w:val="17"/>
              </w:rPr>
              <w:t xml:space="preserve">(required)</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Balancing authority code such as CISO. See essp.respondents().</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year</w:t>
            </w:r>
          </w:p>
        </w:tc>
        <w:tc>
          <w:tcPr>
            <w:tcW w:type="dxa" w:w="2200"/>
            <w:tcMar>
              <w:top w:type="dxa" w:w="60"/>
              <w:left w:type="dxa" w:w="100"/>
              <w:bottom w:type="dxa" w:w="60"/>
              <w:right w:type="dxa" w:w="100"/>
            </w:tcMar>
          </w:tcPr>
          <w:p>
            <w:pPr>
              <w:spacing w:after="120" w:before="0" w:line="276"/>
            </w:pPr>
            <w:r>
              <w:rPr>
                <w:rFonts w:ascii="Calibri" w:cs="Calibri" w:eastAsia="Calibri" w:hAnsi="Calibri"/>
                <w:i/>
                <w:iCs/>
                <w:color w:val="BA0C2F"/>
                <w:sz w:val="17"/>
                <w:szCs w:val="17"/>
              </w:rPr>
              <w:t xml:space="preserve">(required)</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Calendar year.</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availability</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0.85</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Fraction of nameplate treated as available.</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fleet</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NULL</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Precomputed analyze.gasfleet() result, to avoid refetching.</w:t>
            </w:r>
          </w:p>
        </w:tc>
      </w:tr>
    </w:tbl>
    <w:p>
      <w:pPr>
        <w:pStyle w:val="Heading2"/>
        <w:spacing w:after="60" w:before="280"/>
      </w:pPr>
      <w:r>
        <w:rPr>
          <w:rFonts w:ascii="Consolas" w:cs="Consolas" w:eastAsia="Consolas" w:hAnsi="Consolas"/>
          <w:b/>
          <w:bCs/>
          <w:color w:val="1A1A1A"/>
          <w:sz w:val="26"/>
          <w:szCs w:val="26"/>
        </w:rPr>
        <w:t xml:space="preserve">analyze.emissions</w:t>
      </w:r>
    </w:p>
    <w:p>
      <w:pPr>
        <w:spacing w:after="120" w:before="0" w:line="276"/>
      </w:pPr>
      <w:r>
        <w:rPr>
          <w:rFonts w:ascii="Calibri" w:cs="Calibri" w:eastAsia="Calibri" w:hAnsi="Calibri"/>
          <w:b/>
          <w:bCs/>
          <w:color w:val="5A5A5A"/>
          <w:sz w:val="21"/>
          <w:szCs w:val="21"/>
        </w:rPr>
        <w:t xml:space="preserve">Emissions intensity by state</w:t>
      </w:r>
    </w:p>
    <w:p>
      <w:pPr>
        <w:spacing w:after="120" w:before="0" w:line="276"/>
      </w:pPr>
      <w:r>
        <w:rPr>
          <w:rFonts w:ascii="Calibri" w:cs="Calibri" w:eastAsia="Calibri" w:hAnsi="Calibri"/>
          <w:color w:val="1A1A1A"/>
          <w:sz w:val="21"/>
          <w:szCs w:val="21"/>
        </w:rPr>
        <w:t xml:space="preserve">CO2, SO2 and NOx tonnage and per-megawatthour rates by state and fuel.</w:t>
      </w:r>
    </w:p>
    <w:p>
      <w:pPr>
        <w:pBdr>
          <w:left w:val="single" w:color="BA0C2F" w:sz="12" w:space="6"/>
        </w:pBdr>
        <w:shd w:fill="F5F5F3" w:val="clear"/>
        <w:spacing w:after="100" w:before="60"/>
        <w:ind w:left="180"/>
      </w:pPr>
      <w:r>
        <w:rPr>
          <w:rFonts w:ascii="Consolas" w:cs="Consolas" w:eastAsia="Consolas" w:hAnsi="Consolas"/>
          <w:color w:val="1A1A1A"/>
          <w:sz w:val="18"/>
          <w:szCs w:val="18"/>
        </w:rPr>
        <w:t xml:space="preserve">analyze.emissions(state = "US", year, fuel = NULL)</w:t>
      </w:r>
    </w:p>
    <w:tbl>
      <w:tblPr>
        <w:tblW w:type="dxa" w:w="9000"/>
        <w:tblBorders>
          <w:top w:val="single" w:color="D8D8D8" w:sz="6"/>
          <w:left w:val="none" w:color="FFFFFF" w:sz="0"/>
          <w:bottom w:val="single" w:color="D8D8D8" w:sz="6"/>
          <w:right w:val="none" w:color="FFFFFF" w:sz="0"/>
          <w:insideH w:val="single" w:color="D8D8D8" w:sz="4"/>
          <w:insideV w:val="none" w:color="FFFFFF" w:sz="0"/>
        </w:tblBorders>
      </w:tblPr>
      <w:tblGrid>
        <w:gridCol w:w="1500"/>
        <w:gridCol w:w="2200"/>
        <w:gridCol w:w="5300"/>
      </w:tblGrid>
      <w:tr>
        <w:trPr>
          <w:tblHeader/>
        </w:trPr>
        <w:tc>
          <w:tcPr>
            <w:tcW w:type="dxa" w:w="15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Argument</w:t>
            </w:r>
          </w:p>
        </w:tc>
        <w:tc>
          <w:tcPr>
            <w:tcW w:type="dxa" w:w="22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Default</w:t>
            </w:r>
          </w:p>
        </w:tc>
        <w:tc>
          <w:tcPr>
            <w:tcW w:type="dxa" w:w="53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What it controls</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state</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"US"</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State code such as GA, a vector of them, or US for the national figure.</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year</w:t>
            </w:r>
          </w:p>
        </w:tc>
        <w:tc>
          <w:tcPr>
            <w:tcW w:type="dxa" w:w="2200"/>
            <w:tcMar>
              <w:top w:type="dxa" w:w="60"/>
              <w:left w:type="dxa" w:w="100"/>
              <w:bottom w:type="dxa" w:w="60"/>
              <w:right w:type="dxa" w:w="100"/>
            </w:tcMar>
          </w:tcPr>
          <w:p>
            <w:pPr>
              <w:spacing w:after="120" w:before="0" w:line="276"/>
            </w:pPr>
            <w:r>
              <w:rPr>
                <w:rFonts w:ascii="Calibri" w:cs="Calibri" w:eastAsia="Calibri" w:hAnsi="Calibri"/>
                <w:i/>
                <w:iCs/>
                <w:color w:val="BA0C2F"/>
                <w:sz w:val="17"/>
                <w:szCs w:val="17"/>
              </w:rPr>
              <w:t xml:space="preserve">(required)</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Calendar year.</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fuel</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NULL</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Fuel or energy source code.</w:t>
            </w:r>
          </w:p>
        </w:tc>
      </w:tr>
    </w:tbl>
    <w:p>
      <w:pPr>
        <w:pStyle w:val="Heading2"/>
        <w:spacing w:after="60" w:before="280"/>
      </w:pPr>
      <w:r>
        <w:rPr>
          <w:rFonts w:ascii="Consolas" w:cs="Consolas" w:eastAsia="Consolas" w:hAnsi="Consolas"/>
          <w:b/>
          <w:bCs/>
          <w:color w:val="1A1A1A"/>
          <w:sz w:val="26"/>
          <w:szCs w:val="26"/>
        </w:rPr>
        <w:t xml:space="preserve">analyze.prices</w:t>
      </w:r>
    </w:p>
    <w:p>
      <w:pPr>
        <w:spacing w:after="120" w:before="0" w:line="276"/>
      </w:pPr>
      <w:r>
        <w:rPr>
          <w:rFonts w:ascii="Calibri" w:cs="Calibri" w:eastAsia="Calibri" w:hAnsi="Calibri"/>
          <w:b/>
          <w:bCs/>
          <w:color w:val="5A5A5A"/>
          <w:sz w:val="21"/>
          <w:szCs w:val="21"/>
        </w:rPr>
        <w:t xml:space="preserve">Retail electricity prices, nominal and real</w:t>
      </w:r>
    </w:p>
    <w:p>
      <w:pPr>
        <w:spacing w:after="120" w:before="0" w:line="276"/>
      </w:pPr>
      <w:r>
        <w:rPr>
          <w:rFonts w:ascii="Calibri" w:cs="Calibri" w:eastAsia="Calibri" w:hAnsi="Calibri"/>
          <w:color w:val="1A1A1A"/>
          <w:sz w:val="21"/>
          <w:szCs w:val="21"/>
        </w:rPr>
        <w:t xml:space="preserve">Retail electricity prices, nominal and inflation-adjusted.</w:t>
      </w:r>
    </w:p>
    <w:p>
      <w:pPr>
        <w:pBdr>
          <w:left w:val="single" w:color="BA0C2F" w:sz="12" w:space="6"/>
        </w:pBdr>
        <w:shd w:fill="F5F5F3" w:val="clear"/>
        <w:spacing w:after="100" w:before="60"/>
        <w:ind w:left="180"/>
      </w:pPr>
      <w:r>
        <w:rPr>
          <w:rFonts w:ascii="Consolas" w:cs="Consolas" w:eastAsia="Consolas" w:hAnsi="Consolas"/>
          <w:color w:val="1A1A1A"/>
          <w:sz w:val="18"/>
          <w:szCs w:val="18"/>
        </w:rPr>
        <w:t xml:space="preserve">analyze.prices(state, years, sector = "RES", base = NULL)</w:t>
      </w:r>
    </w:p>
    <w:tbl>
      <w:tblPr>
        <w:tblW w:type="dxa" w:w="9000"/>
        <w:tblBorders>
          <w:top w:val="single" w:color="D8D8D8" w:sz="6"/>
          <w:left w:val="none" w:color="FFFFFF" w:sz="0"/>
          <w:bottom w:val="single" w:color="D8D8D8" w:sz="6"/>
          <w:right w:val="none" w:color="FFFFFF" w:sz="0"/>
          <w:insideH w:val="single" w:color="D8D8D8" w:sz="4"/>
          <w:insideV w:val="none" w:color="FFFFFF" w:sz="0"/>
        </w:tblBorders>
      </w:tblPr>
      <w:tblGrid>
        <w:gridCol w:w="1500"/>
        <w:gridCol w:w="2200"/>
        <w:gridCol w:w="5300"/>
      </w:tblGrid>
      <w:tr>
        <w:trPr>
          <w:tblHeader/>
        </w:trPr>
        <w:tc>
          <w:tcPr>
            <w:tcW w:type="dxa" w:w="15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Argument</w:t>
            </w:r>
          </w:p>
        </w:tc>
        <w:tc>
          <w:tcPr>
            <w:tcW w:type="dxa" w:w="22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Default</w:t>
            </w:r>
          </w:p>
        </w:tc>
        <w:tc>
          <w:tcPr>
            <w:tcW w:type="dxa" w:w="53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What it controls</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state</w:t>
            </w:r>
          </w:p>
        </w:tc>
        <w:tc>
          <w:tcPr>
            <w:tcW w:type="dxa" w:w="2200"/>
            <w:tcMar>
              <w:top w:type="dxa" w:w="60"/>
              <w:left w:type="dxa" w:w="100"/>
              <w:bottom w:type="dxa" w:w="60"/>
              <w:right w:type="dxa" w:w="100"/>
            </w:tcMar>
          </w:tcPr>
          <w:p>
            <w:pPr>
              <w:spacing w:after="120" w:before="0" w:line="276"/>
            </w:pPr>
            <w:r>
              <w:rPr>
                <w:rFonts w:ascii="Calibri" w:cs="Calibri" w:eastAsia="Calibri" w:hAnsi="Calibri"/>
                <w:i/>
                <w:iCs/>
                <w:color w:val="BA0C2F"/>
                <w:sz w:val="17"/>
                <w:szCs w:val="17"/>
              </w:rPr>
              <w:t xml:space="preserve">(required)</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State code such as GA, a vector of them, or US for the national figure.</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years</w:t>
            </w:r>
          </w:p>
        </w:tc>
        <w:tc>
          <w:tcPr>
            <w:tcW w:type="dxa" w:w="2200"/>
            <w:tcMar>
              <w:top w:type="dxa" w:w="60"/>
              <w:left w:type="dxa" w:w="100"/>
              <w:bottom w:type="dxa" w:w="60"/>
              <w:right w:type="dxa" w:w="100"/>
            </w:tcMar>
          </w:tcPr>
          <w:p>
            <w:pPr>
              <w:spacing w:after="120" w:before="0" w:line="276"/>
            </w:pPr>
            <w:r>
              <w:rPr>
                <w:rFonts w:ascii="Calibri" w:cs="Calibri" w:eastAsia="Calibri" w:hAnsi="Calibri"/>
                <w:i/>
                <w:iCs/>
                <w:color w:val="BA0C2F"/>
                <w:sz w:val="17"/>
                <w:szCs w:val="17"/>
              </w:rPr>
              <w:t xml:space="preserve">(required)</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Calendar years to fetch; converted to the route's own period format.</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sector</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"RES"</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EIA sector id. 99 is all sectors.</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base</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NULL</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Base year the real series is expressed in.</w:t>
            </w:r>
          </w:p>
        </w:tc>
      </w:tr>
    </w:tbl>
    <w:p>
      <w:pPr>
        <w:pStyle w:val="Heading2"/>
        <w:spacing w:after="60" w:before="280"/>
      </w:pPr>
      <w:r>
        <w:rPr>
          <w:rFonts w:ascii="Consolas" w:cs="Consolas" w:eastAsia="Consolas" w:hAnsi="Consolas"/>
          <w:b/>
          <w:bCs/>
          <w:color w:val="1A1A1A"/>
          <w:sz w:val="26"/>
          <w:szCs w:val="26"/>
        </w:rPr>
        <w:t xml:space="preserve">analyze.seasonality</w:t>
      </w:r>
    </w:p>
    <w:p>
      <w:pPr>
        <w:spacing w:after="120" w:before="0" w:line="276"/>
      </w:pPr>
      <w:r>
        <w:rPr>
          <w:rFonts w:ascii="Calibri" w:cs="Calibri" w:eastAsia="Calibri" w:hAnsi="Calibri"/>
          <w:b/>
          <w:bCs/>
          <w:color w:val="5A5A5A"/>
          <w:sz w:val="21"/>
          <w:szCs w:val="21"/>
        </w:rPr>
        <w:t xml:space="preserve">Seasonal index of a monthly series</w:t>
      </w:r>
    </w:p>
    <w:p>
      <w:pPr>
        <w:spacing w:after="120" w:before="0" w:line="276"/>
      </w:pPr>
      <w:r>
        <w:rPr>
          <w:rFonts w:ascii="Calibri" w:cs="Calibri" w:eastAsia="Calibri" w:hAnsi="Calibri"/>
          <w:color w:val="1A1A1A"/>
          <w:sz w:val="21"/>
          <w:szCs w:val="21"/>
        </w:rPr>
        <w:t xml:space="preserve">Each month as a percentage of the series mean.</w:t>
      </w:r>
    </w:p>
    <w:p>
      <w:pPr>
        <w:pBdr>
          <w:left w:val="single" w:color="BA0C2F" w:sz="12" w:space="6"/>
        </w:pBdr>
        <w:shd w:fill="F5F5F3" w:val="clear"/>
        <w:spacing w:after="100" w:before="60"/>
        <w:ind w:left="180"/>
      </w:pPr>
      <w:r>
        <w:rPr>
          <w:rFonts w:ascii="Consolas" w:cs="Consolas" w:eastAsia="Consolas" w:hAnsi="Consolas"/>
          <w:color w:val="1A1A1A"/>
          <w:sz w:val="18"/>
          <w:szCs w:val="18"/>
        </w:rPr>
        <w:t xml:space="preserve">analyze.seasonality(data, value, period)</w:t>
      </w:r>
    </w:p>
    <w:tbl>
      <w:tblPr>
        <w:tblW w:type="dxa" w:w="9000"/>
        <w:tblBorders>
          <w:top w:val="single" w:color="D8D8D8" w:sz="6"/>
          <w:left w:val="none" w:color="FFFFFF" w:sz="0"/>
          <w:bottom w:val="single" w:color="D8D8D8" w:sz="6"/>
          <w:right w:val="none" w:color="FFFFFF" w:sz="0"/>
          <w:insideH w:val="single" w:color="D8D8D8" w:sz="4"/>
          <w:insideV w:val="none" w:color="FFFFFF" w:sz="0"/>
        </w:tblBorders>
      </w:tblPr>
      <w:tblGrid>
        <w:gridCol w:w="1500"/>
        <w:gridCol w:w="2200"/>
        <w:gridCol w:w="5300"/>
      </w:tblGrid>
      <w:tr>
        <w:trPr>
          <w:tblHeader/>
        </w:trPr>
        <w:tc>
          <w:tcPr>
            <w:tcW w:type="dxa" w:w="15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Argument</w:t>
            </w:r>
          </w:p>
        </w:tc>
        <w:tc>
          <w:tcPr>
            <w:tcW w:type="dxa" w:w="22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Default</w:t>
            </w:r>
          </w:p>
        </w:tc>
        <w:tc>
          <w:tcPr>
            <w:tcW w:type="dxa" w:w="53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What it controls</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data</w:t>
            </w:r>
          </w:p>
        </w:tc>
        <w:tc>
          <w:tcPr>
            <w:tcW w:type="dxa" w:w="2200"/>
            <w:tcMar>
              <w:top w:type="dxa" w:w="60"/>
              <w:left w:type="dxa" w:w="100"/>
              <w:bottom w:type="dxa" w:w="60"/>
              <w:right w:type="dxa" w:w="100"/>
            </w:tcMar>
          </w:tcPr>
          <w:p>
            <w:pPr>
              <w:spacing w:after="120" w:before="0" w:line="276"/>
            </w:pPr>
            <w:r>
              <w:rPr>
                <w:rFonts w:ascii="Calibri" w:cs="Calibri" w:eastAsia="Calibri" w:hAnsi="Calibri"/>
                <w:i/>
                <w:iCs/>
                <w:color w:val="BA0C2F"/>
                <w:sz w:val="17"/>
                <w:szCs w:val="17"/>
              </w:rPr>
              <w:t xml:space="preserve">(required)</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A data frame, normally the output of the gather or analysis step named in the description.</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value</w:t>
            </w:r>
          </w:p>
        </w:tc>
        <w:tc>
          <w:tcPr>
            <w:tcW w:type="dxa" w:w="2200"/>
            <w:tcMar>
              <w:top w:type="dxa" w:w="60"/>
              <w:left w:type="dxa" w:w="100"/>
              <w:bottom w:type="dxa" w:w="60"/>
              <w:right w:type="dxa" w:w="100"/>
            </w:tcMar>
          </w:tcPr>
          <w:p>
            <w:pPr>
              <w:spacing w:after="120" w:before="0" w:line="276"/>
            </w:pPr>
            <w:r>
              <w:rPr>
                <w:rFonts w:ascii="Calibri" w:cs="Calibri" w:eastAsia="Calibri" w:hAnsi="Calibri"/>
                <w:i/>
                <w:iCs/>
                <w:color w:val="BA0C2F"/>
                <w:sz w:val="17"/>
                <w:szCs w:val="17"/>
              </w:rPr>
              <w:t xml:space="preserve">(required)</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Name of the numeric column, as a string.</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period</w:t>
            </w:r>
          </w:p>
        </w:tc>
        <w:tc>
          <w:tcPr>
            <w:tcW w:type="dxa" w:w="2200"/>
            <w:tcMar>
              <w:top w:type="dxa" w:w="60"/>
              <w:left w:type="dxa" w:w="100"/>
              <w:bottom w:type="dxa" w:w="60"/>
              <w:right w:type="dxa" w:w="100"/>
            </w:tcMar>
          </w:tcPr>
          <w:p>
            <w:pPr>
              <w:spacing w:after="120" w:before="0" w:line="276"/>
            </w:pPr>
            <w:r>
              <w:rPr>
                <w:rFonts w:ascii="Calibri" w:cs="Calibri" w:eastAsia="Calibri" w:hAnsi="Calibri"/>
                <w:i/>
                <w:iCs/>
                <w:color w:val="BA0C2F"/>
                <w:sz w:val="17"/>
                <w:szCs w:val="17"/>
              </w:rPr>
              <w:t xml:space="preserve">(required)</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Name of the period column, as a string.</w:t>
            </w:r>
          </w:p>
        </w:tc>
      </w:tr>
    </w:tbl>
    <w:p>
      <w:pPr>
        <w:pStyle w:val="Heading2"/>
        <w:spacing w:after="60" w:before="280"/>
      </w:pPr>
      <w:r>
        <w:rPr>
          <w:rFonts w:ascii="Consolas" w:cs="Consolas" w:eastAsia="Consolas" w:hAnsi="Consolas"/>
          <w:b/>
          <w:bCs/>
          <w:color w:val="1A1A1A"/>
          <w:sz w:val="26"/>
          <w:szCs w:val="26"/>
        </w:rPr>
        <w:t xml:space="preserve">analyze.growth</w:t>
      </w:r>
    </w:p>
    <w:p>
      <w:pPr>
        <w:spacing w:after="120" w:before="0" w:line="276"/>
      </w:pPr>
      <w:r>
        <w:rPr>
          <w:rFonts w:ascii="Calibri" w:cs="Calibri" w:eastAsia="Calibri" w:hAnsi="Calibri"/>
          <w:b/>
          <w:bCs/>
          <w:color w:val="5A5A5A"/>
          <w:sz w:val="21"/>
          <w:szCs w:val="21"/>
        </w:rPr>
        <w:t xml:space="preserve">Year-over-year change and compound annual growth rate</w:t>
      </w:r>
    </w:p>
    <w:p>
      <w:pPr>
        <w:spacing w:after="120" w:before="0" w:line="276"/>
      </w:pPr>
      <w:r>
        <w:rPr>
          <w:rFonts w:ascii="Calibri" w:cs="Calibri" w:eastAsia="Calibri" w:hAnsi="Calibri"/>
          <w:color w:val="1A1A1A"/>
          <w:sz w:val="21"/>
          <w:szCs w:val="21"/>
        </w:rPr>
        <w:t xml:space="preserve">Year-over-year change and compound annual growth rate.</w:t>
      </w:r>
    </w:p>
    <w:p>
      <w:pPr>
        <w:pBdr>
          <w:left w:val="single" w:color="BA0C2F" w:sz="12" w:space="6"/>
        </w:pBdr>
        <w:shd w:fill="F5F5F3" w:val="clear"/>
        <w:spacing w:after="100" w:before="60"/>
        <w:ind w:left="180"/>
      </w:pPr>
      <w:r>
        <w:rPr>
          <w:rFonts w:ascii="Consolas" w:cs="Consolas" w:eastAsia="Consolas" w:hAnsi="Consolas"/>
          <w:color w:val="1A1A1A"/>
          <w:sz w:val="18"/>
          <w:szCs w:val="18"/>
        </w:rPr>
        <w:t xml:space="preserve">analyze.growth(data, value, period, type = c("both", "yoy", "cagr"))</w:t>
      </w:r>
    </w:p>
    <w:tbl>
      <w:tblPr>
        <w:tblW w:type="dxa" w:w="9000"/>
        <w:tblBorders>
          <w:top w:val="single" w:color="D8D8D8" w:sz="6"/>
          <w:left w:val="none" w:color="FFFFFF" w:sz="0"/>
          <w:bottom w:val="single" w:color="D8D8D8" w:sz="6"/>
          <w:right w:val="none" w:color="FFFFFF" w:sz="0"/>
          <w:insideH w:val="single" w:color="D8D8D8" w:sz="4"/>
          <w:insideV w:val="none" w:color="FFFFFF" w:sz="0"/>
        </w:tblBorders>
      </w:tblPr>
      <w:tblGrid>
        <w:gridCol w:w="1500"/>
        <w:gridCol w:w="2200"/>
        <w:gridCol w:w="5300"/>
      </w:tblGrid>
      <w:tr>
        <w:trPr>
          <w:tblHeader/>
        </w:trPr>
        <w:tc>
          <w:tcPr>
            <w:tcW w:type="dxa" w:w="15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Argument</w:t>
            </w:r>
          </w:p>
        </w:tc>
        <w:tc>
          <w:tcPr>
            <w:tcW w:type="dxa" w:w="22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Default</w:t>
            </w:r>
          </w:p>
        </w:tc>
        <w:tc>
          <w:tcPr>
            <w:tcW w:type="dxa" w:w="53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What it controls</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data</w:t>
            </w:r>
          </w:p>
        </w:tc>
        <w:tc>
          <w:tcPr>
            <w:tcW w:type="dxa" w:w="2200"/>
            <w:tcMar>
              <w:top w:type="dxa" w:w="60"/>
              <w:left w:type="dxa" w:w="100"/>
              <w:bottom w:type="dxa" w:w="60"/>
              <w:right w:type="dxa" w:w="100"/>
            </w:tcMar>
          </w:tcPr>
          <w:p>
            <w:pPr>
              <w:spacing w:after="120" w:before="0" w:line="276"/>
            </w:pPr>
            <w:r>
              <w:rPr>
                <w:rFonts w:ascii="Calibri" w:cs="Calibri" w:eastAsia="Calibri" w:hAnsi="Calibri"/>
                <w:i/>
                <w:iCs/>
                <w:color w:val="BA0C2F"/>
                <w:sz w:val="17"/>
                <w:szCs w:val="17"/>
              </w:rPr>
              <w:t xml:space="preserve">(required)</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A data frame, normally the output of the gather or analysis step named in the description.</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value</w:t>
            </w:r>
          </w:p>
        </w:tc>
        <w:tc>
          <w:tcPr>
            <w:tcW w:type="dxa" w:w="2200"/>
            <w:tcMar>
              <w:top w:type="dxa" w:w="60"/>
              <w:left w:type="dxa" w:w="100"/>
              <w:bottom w:type="dxa" w:w="60"/>
              <w:right w:type="dxa" w:w="100"/>
            </w:tcMar>
          </w:tcPr>
          <w:p>
            <w:pPr>
              <w:spacing w:after="120" w:before="0" w:line="276"/>
            </w:pPr>
            <w:r>
              <w:rPr>
                <w:rFonts w:ascii="Calibri" w:cs="Calibri" w:eastAsia="Calibri" w:hAnsi="Calibri"/>
                <w:i/>
                <w:iCs/>
                <w:color w:val="BA0C2F"/>
                <w:sz w:val="17"/>
                <w:szCs w:val="17"/>
              </w:rPr>
              <w:t xml:space="preserve">(required)</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Name of the numeric column, as a string.</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period</w:t>
            </w:r>
          </w:p>
        </w:tc>
        <w:tc>
          <w:tcPr>
            <w:tcW w:type="dxa" w:w="2200"/>
            <w:tcMar>
              <w:top w:type="dxa" w:w="60"/>
              <w:left w:type="dxa" w:w="100"/>
              <w:bottom w:type="dxa" w:w="60"/>
              <w:right w:type="dxa" w:w="100"/>
            </w:tcMar>
          </w:tcPr>
          <w:p>
            <w:pPr>
              <w:spacing w:after="120" w:before="0" w:line="276"/>
            </w:pPr>
            <w:r>
              <w:rPr>
                <w:rFonts w:ascii="Calibri" w:cs="Calibri" w:eastAsia="Calibri" w:hAnsi="Calibri"/>
                <w:i/>
                <w:iCs/>
                <w:color w:val="BA0C2F"/>
                <w:sz w:val="17"/>
                <w:szCs w:val="17"/>
              </w:rPr>
              <w:t xml:space="preserve">(required)</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Name of the period column, as a string.</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type</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c("both", "yoy", "cagr")</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Which variant to return.</w:t>
            </w:r>
          </w:p>
        </w:tc>
      </w:tr>
    </w:tbl>
    <w:p>
      <w:pPr>
        <w:pStyle w:val="Heading2"/>
        <w:spacing w:after="60" w:before="280"/>
      </w:pPr>
      <w:r>
        <w:rPr>
          <w:rFonts w:ascii="Consolas" w:cs="Consolas" w:eastAsia="Consolas" w:hAnsi="Consolas"/>
          <w:b/>
          <w:bCs/>
          <w:color w:val="1A1A1A"/>
          <w:sz w:val="26"/>
          <w:szCs w:val="26"/>
        </w:rPr>
        <w:t xml:space="preserve">analyze.compare</w:t>
      </w:r>
    </w:p>
    <w:p>
      <w:pPr>
        <w:spacing w:after="120" w:before="0" w:line="276"/>
      </w:pPr>
      <w:r>
        <w:rPr>
          <w:rFonts w:ascii="Calibri" w:cs="Calibri" w:eastAsia="Calibri" w:hAnsi="Calibri"/>
          <w:b/>
          <w:bCs/>
          <w:color w:val="5A5A5A"/>
          <w:sz w:val="21"/>
          <w:szCs w:val="21"/>
        </w:rPr>
        <w:t xml:space="preserve">Compare a metric across states</w:t>
      </w:r>
    </w:p>
    <w:p>
      <w:pPr>
        <w:spacing w:after="120" w:before="0" w:line="276"/>
      </w:pPr>
      <w:r>
        <w:rPr>
          <w:rFonts w:ascii="Calibri" w:cs="Calibri" w:eastAsia="Calibri" w:hAnsi="Calibri"/>
          <w:color w:val="1A1A1A"/>
          <w:sz w:val="21"/>
          <w:szCs w:val="21"/>
        </w:rPr>
        <w:t xml:space="preserve">Runs one of the mix analyses across several states and stacks the results.</w:t>
      </w:r>
    </w:p>
    <w:p>
      <w:pPr>
        <w:pBdr>
          <w:left w:val="single" w:color="BA0C2F" w:sz="12" w:space="6"/>
        </w:pBdr>
        <w:shd w:fill="F5F5F3" w:val="clear"/>
        <w:spacing w:after="100" w:before="60"/>
        <w:ind w:left="180"/>
      </w:pPr>
      <w:r>
        <w:rPr>
          <w:rFonts w:ascii="Consolas" w:cs="Consolas" w:eastAsia="Consolas" w:hAnsi="Consolas"/>
          <w:color w:val="1A1A1A"/>
          <w:sz w:val="18"/>
          <w:szCs w:val="18"/>
        </w:rPr>
        <w:t xml:space="preserve">analyze.compare(
    states,
    year,
    metric = c("mix", "capacity", "generation", "capacityfactor", "d...,
    ...
)</w:t>
      </w:r>
    </w:p>
    <w:tbl>
      <w:tblPr>
        <w:tblW w:type="dxa" w:w="9000"/>
        <w:tblBorders>
          <w:top w:val="single" w:color="D8D8D8" w:sz="6"/>
          <w:left w:val="none" w:color="FFFFFF" w:sz="0"/>
          <w:bottom w:val="single" w:color="D8D8D8" w:sz="6"/>
          <w:right w:val="none" w:color="FFFFFF" w:sz="0"/>
          <w:insideH w:val="single" w:color="D8D8D8" w:sz="4"/>
          <w:insideV w:val="none" w:color="FFFFFF" w:sz="0"/>
        </w:tblBorders>
      </w:tblPr>
      <w:tblGrid>
        <w:gridCol w:w="1500"/>
        <w:gridCol w:w="2200"/>
        <w:gridCol w:w="5300"/>
      </w:tblGrid>
      <w:tr>
        <w:trPr>
          <w:tblHeader/>
        </w:trPr>
        <w:tc>
          <w:tcPr>
            <w:tcW w:type="dxa" w:w="15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Argument</w:t>
            </w:r>
          </w:p>
        </w:tc>
        <w:tc>
          <w:tcPr>
            <w:tcW w:type="dxa" w:w="22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Default</w:t>
            </w:r>
          </w:p>
        </w:tc>
        <w:tc>
          <w:tcPr>
            <w:tcW w:type="dxa" w:w="53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What it controls</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states</w:t>
            </w:r>
          </w:p>
        </w:tc>
        <w:tc>
          <w:tcPr>
            <w:tcW w:type="dxa" w:w="2200"/>
            <w:tcMar>
              <w:top w:type="dxa" w:w="60"/>
              <w:left w:type="dxa" w:w="100"/>
              <w:bottom w:type="dxa" w:w="60"/>
              <w:right w:type="dxa" w:w="100"/>
            </w:tcMar>
          </w:tcPr>
          <w:p>
            <w:pPr>
              <w:spacing w:after="120" w:before="0" w:line="276"/>
            </w:pPr>
            <w:r>
              <w:rPr>
                <w:rFonts w:ascii="Calibri" w:cs="Calibri" w:eastAsia="Calibri" w:hAnsi="Calibri"/>
                <w:i/>
                <w:iCs/>
                <w:color w:val="BA0C2F"/>
                <w:sz w:val="17"/>
                <w:szCs w:val="17"/>
              </w:rPr>
              <w:t xml:space="preserve">(required)</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State codes to compare.</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year</w:t>
            </w:r>
          </w:p>
        </w:tc>
        <w:tc>
          <w:tcPr>
            <w:tcW w:type="dxa" w:w="2200"/>
            <w:tcMar>
              <w:top w:type="dxa" w:w="60"/>
              <w:left w:type="dxa" w:w="100"/>
              <w:bottom w:type="dxa" w:w="60"/>
              <w:right w:type="dxa" w:w="100"/>
            </w:tcMar>
          </w:tcPr>
          <w:p>
            <w:pPr>
              <w:spacing w:after="120" w:before="0" w:line="276"/>
            </w:pPr>
            <w:r>
              <w:rPr>
                <w:rFonts w:ascii="Calibri" w:cs="Calibri" w:eastAsia="Calibri" w:hAnsi="Calibri"/>
                <w:i/>
                <w:iCs/>
                <w:color w:val="BA0C2F"/>
                <w:sz w:val="17"/>
                <w:szCs w:val="17"/>
              </w:rPr>
              <w:t xml:space="preserve">(required)</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Calendar year.</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metric</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c("mix", "capacity", "generation", "capacityfactor", "d...</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Which analysis to run.</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w:t>
            </w:r>
          </w:p>
        </w:tc>
        <w:tc>
          <w:tcPr>
            <w:tcW w:type="dxa" w:w="2200"/>
            <w:tcMar>
              <w:top w:type="dxa" w:w="60"/>
              <w:left w:type="dxa" w:w="100"/>
              <w:bottom w:type="dxa" w:w="60"/>
              <w:right w:type="dxa" w:w="100"/>
            </w:tcMar>
          </w:tcPr>
          <w:p>
            <w:pPr>
              <w:spacing w:after="120" w:before="0" w:line="276"/>
            </w:pPr>
            <w:r>
              <w:rPr>
                <w:rFonts w:ascii="Calibri" w:cs="Calibri" w:eastAsia="Calibri" w:hAnsi="Calibri"/>
                <w:i/>
                <w:iCs/>
                <w:color w:val="BA0C2F"/>
                <w:sz w:val="17"/>
                <w:szCs w:val="17"/>
              </w:rPr>
              <w:t xml:space="preserve">(required)</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See the package help page.</w:t>
            </w:r>
          </w:p>
        </w:tc>
      </w:tr>
    </w:tbl>
    <w:p>
      <w:r>
        <w:br w:type="page"/>
      </w:r>
    </w:p>
    <w:p>
      <w:pPr>
        <w:pStyle w:val="Heading1"/>
        <w:spacing w:after="80" w:before="200"/>
      </w:pPr>
      <w:r>
        <w:rPr>
          <w:b/>
          <w:bCs/>
          <w:color w:val="BA0C2F"/>
          <w:sz w:val="32"/>
          <w:szCs w:val="32"/>
        </w:rPr>
        <w:t xml:space="preserve">Command Set 3 — Visualization</w:t>
      </w:r>
    </w:p>
    <w:p>
      <w:pPr>
        <w:spacing w:after="240" w:before="0" w:line="276"/>
      </w:pPr>
      <w:r>
        <w:rPr>
          <w:rFonts w:ascii="Calibri" w:cs="Calibri" w:eastAsia="Calibri" w:hAnsi="Calibri"/>
          <w:i/>
          <w:iCs/>
          <w:color w:val="5A5A5A"/>
          <w:sz w:val="21"/>
          <w:szCs w:val="21"/>
        </w:rPr>
        <w:t xml:space="preserve">Rendering figures in the program's house style, at the dimensions the templates reserve.</w:t>
      </w:r>
    </w:p>
    <w:p>
      <w:pPr>
        <w:pStyle w:val="Heading2"/>
        <w:spacing w:after="60" w:before="280"/>
      </w:pPr>
      <w:r>
        <w:rPr>
          <w:rFonts w:ascii="Consolas" w:cs="Consolas" w:eastAsia="Consolas" w:hAnsi="Consolas"/>
          <w:b/>
          <w:bCs/>
          <w:color w:val="1A1A1A"/>
          <w:sz w:val="26"/>
          <w:szCs w:val="26"/>
        </w:rPr>
        <w:t xml:space="preserve">essp.theme</w:t>
      </w:r>
    </w:p>
    <w:p>
      <w:pPr>
        <w:spacing w:after="120" w:before="0" w:line="276"/>
      </w:pPr>
      <w:r>
        <w:rPr>
          <w:rFonts w:ascii="Calibri" w:cs="Calibri" w:eastAsia="Calibri" w:hAnsi="Calibri"/>
          <w:b/>
          <w:bCs/>
          <w:color w:val="5A5A5A"/>
          <w:sz w:val="21"/>
          <w:szCs w:val="21"/>
        </w:rPr>
        <w:t xml:space="preserve">House ggplot theme</w:t>
      </w:r>
    </w:p>
    <w:p>
      <w:pPr>
        <w:spacing w:after="120" w:before="0" w:line="276"/>
      </w:pPr>
      <w:r>
        <w:rPr>
          <w:rFonts w:ascii="Calibri" w:cs="Calibri" w:eastAsia="Calibri" w:hAnsi="Calibri"/>
          <w:color w:val="1A1A1A"/>
          <w:sz w:val="21"/>
          <w:szCs w:val="21"/>
        </w:rPr>
        <w:t xml:space="preserve">Parent ggplot theme. Sets typography, grid and palette; the accent rotates by semester over a constant base.</w:t>
      </w:r>
    </w:p>
    <w:p>
      <w:pPr>
        <w:pBdr>
          <w:left w:val="single" w:color="BA0C2F" w:sz="12" w:space="6"/>
        </w:pBdr>
        <w:shd w:fill="F5F5F3" w:val="clear"/>
        <w:spacing w:after="100" w:before="60"/>
        <w:ind w:left="180"/>
      </w:pPr>
      <w:r>
        <w:rPr>
          <w:rFonts w:ascii="Consolas" w:cs="Consolas" w:eastAsia="Consolas" w:hAnsi="Consolas"/>
          <w:color w:val="1A1A1A"/>
          <w:sz w:val="18"/>
          <w:szCs w:val="18"/>
        </w:rPr>
        <w:t xml:space="preserve">essp.theme(
    semester = "Fall",
    year = as.integer(format(Sys.Date(), "%Y")),
    base_size = 11,
    font_dir = NULL
)</w:t>
      </w:r>
    </w:p>
    <w:tbl>
      <w:tblPr>
        <w:tblW w:type="dxa" w:w="9000"/>
        <w:tblBorders>
          <w:top w:val="single" w:color="D8D8D8" w:sz="6"/>
          <w:left w:val="none" w:color="FFFFFF" w:sz="0"/>
          <w:bottom w:val="single" w:color="D8D8D8" w:sz="6"/>
          <w:right w:val="none" w:color="FFFFFF" w:sz="0"/>
          <w:insideH w:val="single" w:color="D8D8D8" w:sz="4"/>
          <w:insideV w:val="none" w:color="FFFFFF" w:sz="0"/>
        </w:tblBorders>
      </w:tblPr>
      <w:tblGrid>
        <w:gridCol w:w="1500"/>
        <w:gridCol w:w="2200"/>
        <w:gridCol w:w="5300"/>
      </w:tblGrid>
      <w:tr>
        <w:trPr>
          <w:tblHeader/>
        </w:trPr>
        <w:tc>
          <w:tcPr>
            <w:tcW w:type="dxa" w:w="15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Argument</w:t>
            </w:r>
          </w:p>
        </w:tc>
        <w:tc>
          <w:tcPr>
            <w:tcW w:type="dxa" w:w="22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Default</w:t>
            </w:r>
          </w:p>
        </w:tc>
        <w:tc>
          <w:tcPr>
            <w:tcW w:type="dxa" w:w="53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What it controls</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semester</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"Fall"</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Semester name; selects the accent colour.</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year</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as.integer(format(Sys.Date(), "%Y"))</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Calendar year.</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base_size</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11</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See the package help page.</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font_dir</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NULL</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See the package help page.</w:t>
            </w:r>
          </w:p>
        </w:tc>
      </w:tr>
    </w:tbl>
    <w:p>
      <w:pPr>
        <w:pStyle w:val="Heading2"/>
        <w:spacing w:after="60" w:before="280"/>
      </w:pPr>
      <w:r>
        <w:rPr>
          <w:rFonts w:ascii="Consolas" w:cs="Consolas" w:eastAsia="Consolas" w:hAnsi="Consolas"/>
          <w:b/>
          <w:bCs/>
          <w:color w:val="1A1A1A"/>
          <w:sz w:val="26"/>
          <w:szCs w:val="26"/>
        </w:rPr>
        <w:t xml:space="preserve">essp.colors</w:t>
      </w:r>
    </w:p>
    <w:p>
      <w:pPr>
        <w:spacing w:after="120" w:before="0" w:line="276"/>
      </w:pPr>
      <w:r>
        <w:rPr>
          <w:rFonts w:ascii="Calibri" w:cs="Calibri" w:eastAsia="Calibri" w:hAnsi="Calibri"/>
          <w:b/>
          <w:bCs/>
          <w:color w:val="5A5A5A"/>
          <w:sz w:val="21"/>
          <w:szCs w:val="21"/>
        </w:rPr>
        <w:t xml:space="preserve">Brand colors</w:t>
      </w:r>
    </w:p>
    <w:p>
      <w:pPr>
        <w:spacing w:after="120" w:before="0" w:line="276"/>
      </w:pPr>
      <w:r>
        <w:rPr>
          <w:rFonts w:ascii="Calibri" w:cs="Calibri" w:eastAsia="Calibri" w:hAnsi="Calibri"/>
          <w:color w:val="1A1A1A"/>
          <w:sz w:val="21"/>
          <w:szCs w:val="21"/>
        </w:rPr>
        <w:t xml:space="preserve">Named brand colours taken from the two-pager LaTeX preamble.</w:t>
      </w:r>
    </w:p>
    <w:p>
      <w:pPr>
        <w:pBdr>
          <w:left w:val="single" w:color="BA0C2F" w:sz="12" w:space="6"/>
        </w:pBdr>
        <w:shd w:fill="F5F5F3" w:val="clear"/>
        <w:spacing w:after="100" w:before="60"/>
        <w:ind w:left="180"/>
      </w:pPr>
      <w:r>
        <w:rPr>
          <w:rFonts w:ascii="Consolas" w:cs="Consolas" w:eastAsia="Consolas" w:hAnsi="Consolas"/>
          <w:color w:val="1A1A1A"/>
          <w:sz w:val="18"/>
          <w:szCs w:val="18"/>
        </w:rPr>
        <w:t xml:space="preserve">essp.colors(name = NULL)</w:t>
      </w:r>
    </w:p>
    <w:tbl>
      <w:tblPr>
        <w:tblW w:type="dxa" w:w="9000"/>
        <w:tblBorders>
          <w:top w:val="single" w:color="D8D8D8" w:sz="6"/>
          <w:left w:val="none" w:color="FFFFFF" w:sz="0"/>
          <w:bottom w:val="single" w:color="D8D8D8" w:sz="6"/>
          <w:right w:val="none" w:color="FFFFFF" w:sz="0"/>
          <w:insideH w:val="single" w:color="D8D8D8" w:sz="4"/>
          <w:insideV w:val="none" w:color="FFFFFF" w:sz="0"/>
        </w:tblBorders>
      </w:tblPr>
      <w:tblGrid>
        <w:gridCol w:w="1500"/>
        <w:gridCol w:w="2200"/>
        <w:gridCol w:w="5300"/>
      </w:tblGrid>
      <w:tr>
        <w:trPr>
          <w:tblHeader/>
        </w:trPr>
        <w:tc>
          <w:tcPr>
            <w:tcW w:type="dxa" w:w="15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Argument</w:t>
            </w:r>
          </w:p>
        </w:tc>
        <w:tc>
          <w:tcPr>
            <w:tcW w:type="dxa" w:w="22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Default</w:t>
            </w:r>
          </w:p>
        </w:tc>
        <w:tc>
          <w:tcPr>
            <w:tcW w:type="dxa" w:w="53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What it controls</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name</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NULL</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Which named colour to return.</w:t>
            </w:r>
          </w:p>
        </w:tc>
      </w:tr>
    </w:tbl>
    <w:p>
      <w:pPr>
        <w:pStyle w:val="Heading2"/>
        <w:spacing w:after="60" w:before="280"/>
      </w:pPr>
      <w:r>
        <w:rPr>
          <w:rFonts w:ascii="Consolas" w:cs="Consolas" w:eastAsia="Consolas" w:hAnsi="Consolas"/>
          <w:b/>
          <w:bCs/>
          <w:color w:val="1A1A1A"/>
          <w:sz w:val="26"/>
          <w:szCs w:val="26"/>
        </w:rPr>
        <w:t xml:space="preserve">essp.fuelcolors</w:t>
      </w:r>
    </w:p>
    <w:p>
      <w:pPr>
        <w:spacing w:after="120" w:before="0" w:line="276"/>
      </w:pPr>
      <w:r>
        <w:rPr>
          <w:rFonts w:ascii="Calibri" w:cs="Calibri" w:eastAsia="Calibri" w:hAnsi="Calibri"/>
          <w:b/>
          <w:bCs/>
          <w:color w:val="5A5A5A"/>
          <w:sz w:val="21"/>
          <w:szCs w:val="21"/>
        </w:rPr>
        <w:t xml:space="preserve">House fuel colors</w:t>
      </w:r>
    </w:p>
    <w:p>
      <w:pPr>
        <w:spacing w:after="120" w:before="0" w:line="276"/>
      </w:pPr>
      <w:r>
        <w:rPr>
          <w:rFonts w:ascii="Calibri" w:cs="Calibri" w:eastAsia="Calibri" w:hAnsi="Calibri"/>
          <w:color w:val="1A1A1A"/>
          <w:sz w:val="21"/>
          <w:szCs w:val="21"/>
        </w:rPr>
        <w:t xml:space="preserve">The program's standard fuel-to-colour map, matching the existing figures. EIA fuel codes resolve to the same colours.</w:t>
      </w:r>
    </w:p>
    <w:p>
      <w:pPr>
        <w:pBdr>
          <w:left w:val="single" w:color="BA0C2F" w:sz="12" w:space="6"/>
        </w:pBdr>
        <w:shd w:fill="F5F5F3" w:val="clear"/>
        <w:spacing w:after="100" w:before="60"/>
        <w:ind w:left="180"/>
      </w:pPr>
      <w:r>
        <w:rPr>
          <w:rFonts w:ascii="Consolas" w:cs="Consolas" w:eastAsia="Consolas" w:hAnsi="Consolas"/>
          <w:color w:val="1A1A1A"/>
          <w:sz w:val="18"/>
          <w:szCs w:val="18"/>
        </w:rPr>
        <w:t xml:space="preserve">essp.fuelcolors(fuels = NULL)</w:t>
      </w:r>
    </w:p>
    <w:tbl>
      <w:tblPr>
        <w:tblW w:type="dxa" w:w="9000"/>
        <w:tblBorders>
          <w:top w:val="single" w:color="D8D8D8" w:sz="6"/>
          <w:left w:val="none" w:color="FFFFFF" w:sz="0"/>
          <w:bottom w:val="single" w:color="D8D8D8" w:sz="6"/>
          <w:right w:val="none" w:color="FFFFFF" w:sz="0"/>
          <w:insideH w:val="single" w:color="D8D8D8" w:sz="4"/>
          <w:insideV w:val="none" w:color="FFFFFF" w:sz="0"/>
        </w:tblBorders>
      </w:tblPr>
      <w:tblGrid>
        <w:gridCol w:w="1500"/>
        <w:gridCol w:w="2200"/>
        <w:gridCol w:w="5300"/>
      </w:tblGrid>
      <w:tr>
        <w:trPr>
          <w:tblHeader/>
        </w:trPr>
        <w:tc>
          <w:tcPr>
            <w:tcW w:type="dxa" w:w="15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Argument</w:t>
            </w:r>
          </w:p>
        </w:tc>
        <w:tc>
          <w:tcPr>
            <w:tcW w:type="dxa" w:w="22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Default</w:t>
            </w:r>
          </w:p>
        </w:tc>
        <w:tc>
          <w:tcPr>
            <w:tcW w:type="dxa" w:w="53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What it controls</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fuels</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NULL</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Fuel codes to keep.</w:t>
            </w:r>
          </w:p>
        </w:tc>
      </w:tr>
    </w:tbl>
    <w:p>
      <w:pPr>
        <w:pStyle w:val="Heading2"/>
        <w:spacing w:after="60" w:before="280"/>
      </w:pPr>
      <w:r>
        <w:rPr>
          <w:rFonts w:ascii="Consolas" w:cs="Consolas" w:eastAsia="Consolas" w:hAnsi="Consolas"/>
          <w:b/>
          <w:bCs/>
          <w:color w:val="1A1A1A"/>
          <w:sz w:val="26"/>
          <w:szCs w:val="26"/>
        </w:rPr>
        <w:t xml:space="preserve">essp.palette</w:t>
      </w:r>
    </w:p>
    <w:p>
      <w:pPr>
        <w:spacing w:after="120" w:before="0" w:line="276"/>
      </w:pPr>
      <w:r>
        <w:rPr>
          <w:rFonts w:ascii="Calibri" w:cs="Calibri" w:eastAsia="Calibri" w:hAnsi="Calibri"/>
          <w:b/>
          <w:bCs/>
          <w:color w:val="5A5A5A"/>
          <w:sz w:val="21"/>
          <w:szCs w:val="21"/>
        </w:rPr>
        <w:t xml:space="preserve">Chart palettes</w:t>
      </w:r>
    </w:p>
    <w:p>
      <w:pPr>
        <w:spacing w:after="120" w:before="0" w:line="276"/>
      </w:pPr>
      <w:r>
        <w:rPr>
          <w:rFonts w:ascii="Calibri" w:cs="Calibri" w:eastAsia="Calibri" w:hAnsi="Calibri"/>
          <w:color w:val="1A1A1A"/>
          <w:sz w:val="21"/>
          <w:szCs w:val="21"/>
        </w:rPr>
        <w:t xml:space="preserve">Categorical, grey and sequential colour ramps.</w:t>
      </w:r>
    </w:p>
    <w:p>
      <w:pPr>
        <w:pBdr>
          <w:left w:val="single" w:color="BA0C2F" w:sz="12" w:space="6"/>
        </w:pBdr>
        <w:shd w:fill="F5F5F3" w:val="clear"/>
        <w:spacing w:after="100" w:before="60"/>
        <w:ind w:left="180"/>
      </w:pPr>
      <w:r>
        <w:rPr>
          <w:rFonts w:ascii="Consolas" w:cs="Consolas" w:eastAsia="Consolas" w:hAnsi="Consolas"/>
          <w:color w:val="1A1A1A"/>
          <w:sz w:val="18"/>
          <w:szCs w:val="18"/>
        </w:rPr>
        <w:t xml:space="preserve">essp.palette(type = c("categorical", "grey", "sequential"), n = 4)</w:t>
      </w:r>
    </w:p>
    <w:tbl>
      <w:tblPr>
        <w:tblW w:type="dxa" w:w="9000"/>
        <w:tblBorders>
          <w:top w:val="single" w:color="D8D8D8" w:sz="6"/>
          <w:left w:val="none" w:color="FFFFFF" w:sz="0"/>
          <w:bottom w:val="single" w:color="D8D8D8" w:sz="6"/>
          <w:right w:val="none" w:color="FFFFFF" w:sz="0"/>
          <w:insideH w:val="single" w:color="D8D8D8" w:sz="4"/>
          <w:insideV w:val="none" w:color="FFFFFF" w:sz="0"/>
        </w:tblBorders>
      </w:tblPr>
      <w:tblGrid>
        <w:gridCol w:w="1500"/>
        <w:gridCol w:w="2200"/>
        <w:gridCol w:w="5300"/>
      </w:tblGrid>
      <w:tr>
        <w:trPr>
          <w:tblHeader/>
        </w:trPr>
        <w:tc>
          <w:tcPr>
            <w:tcW w:type="dxa" w:w="15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Argument</w:t>
            </w:r>
          </w:p>
        </w:tc>
        <w:tc>
          <w:tcPr>
            <w:tcW w:type="dxa" w:w="22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Default</w:t>
            </w:r>
          </w:p>
        </w:tc>
        <w:tc>
          <w:tcPr>
            <w:tcW w:type="dxa" w:w="53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What it controls</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type</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c("categorical", "grey", "sequential")</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Which variant to return.</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n</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4</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How many rows to return or show.</w:t>
            </w:r>
          </w:p>
        </w:tc>
      </w:tr>
    </w:tbl>
    <w:p>
      <w:pPr>
        <w:pStyle w:val="Heading2"/>
        <w:spacing w:after="60" w:before="280"/>
      </w:pPr>
      <w:r>
        <w:rPr>
          <w:rFonts w:ascii="Consolas" w:cs="Consolas" w:eastAsia="Consolas" w:hAnsi="Consolas"/>
          <w:b/>
          <w:bCs/>
          <w:color w:val="1A1A1A"/>
          <w:sz w:val="26"/>
          <w:szCs w:val="26"/>
        </w:rPr>
        <w:t xml:space="preserve">essp.highlight</w:t>
      </w:r>
    </w:p>
    <w:p>
      <w:pPr>
        <w:spacing w:after="120" w:before="0" w:line="276"/>
      </w:pPr>
      <w:r>
        <w:rPr>
          <w:rFonts w:ascii="Calibri" w:cs="Calibri" w:eastAsia="Calibri" w:hAnsi="Calibri"/>
          <w:b/>
          <w:bCs/>
          <w:color w:val="5A5A5A"/>
          <w:sz w:val="21"/>
          <w:szCs w:val="21"/>
        </w:rPr>
        <w:t xml:space="preserve">Colors for a set of resources, with one highlighted</w:t>
      </w:r>
    </w:p>
    <w:p>
      <w:pPr>
        <w:spacing w:after="120" w:before="0" w:line="276"/>
      </w:pPr>
      <w:r>
        <w:rPr>
          <w:rFonts w:ascii="Calibri" w:cs="Calibri" w:eastAsia="Calibri" w:hAnsi="Calibri"/>
          <w:color w:val="1A1A1A"/>
          <w:sz w:val="21"/>
          <w:szCs w:val="21"/>
        </w:rPr>
        <w:t xml:space="preserve">The house idiom: one resource in the accent colour, all others greyed.</w:t>
      </w:r>
    </w:p>
    <w:p>
      <w:pPr>
        <w:pBdr>
          <w:left w:val="single" w:color="BA0C2F" w:sz="12" w:space="6"/>
        </w:pBdr>
        <w:shd w:fill="F5F5F3" w:val="clear"/>
        <w:spacing w:after="100" w:before="60"/>
        <w:ind w:left="180"/>
      </w:pPr>
      <w:r>
        <w:rPr>
          <w:rFonts w:ascii="Consolas" w:cs="Consolas" w:eastAsia="Consolas" w:hAnsi="Consolas"/>
          <w:color w:val="1A1A1A"/>
          <w:sz w:val="18"/>
          <w:szCs w:val="18"/>
        </w:rPr>
        <w:t xml:space="preserve">essp.highlight(resources, highlight = NULL, accent = NULL)</w:t>
      </w:r>
    </w:p>
    <w:tbl>
      <w:tblPr>
        <w:tblW w:type="dxa" w:w="9000"/>
        <w:tblBorders>
          <w:top w:val="single" w:color="D8D8D8" w:sz="6"/>
          <w:left w:val="none" w:color="FFFFFF" w:sz="0"/>
          <w:bottom w:val="single" w:color="D8D8D8" w:sz="6"/>
          <w:right w:val="none" w:color="FFFFFF" w:sz="0"/>
          <w:insideH w:val="single" w:color="D8D8D8" w:sz="4"/>
          <w:insideV w:val="none" w:color="FFFFFF" w:sz="0"/>
        </w:tblBorders>
      </w:tblPr>
      <w:tblGrid>
        <w:gridCol w:w="1500"/>
        <w:gridCol w:w="2200"/>
        <w:gridCol w:w="5300"/>
      </w:tblGrid>
      <w:tr>
        <w:trPr>
          <w:tblHeader/>
        </w:trPr>
        <w:tc>
          <w:tcPr>
            <w:tcW w:type="dxa" w:w="15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Argument</w:t>
            </w:r>
          </w:p>
        </w:tc>
        <w:tc>
          <w:tcPr>
            <w:tcW w:type="dxa" w:w="22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Default</w:t>
            </w:r>
          </w:p>
        </w:tc>
        <w:tc>
          <w:tcPr>
            <w:tcW w:type="dxa" w:w="53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What it controls</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resources</w:t>
            </w:r>
          </w:p>
        </w:tc>
        <w:tc>
          <w:tcPr>
            <w:tcW w:type="dxa" w:w="2200"/>
            <w:tcMar>
              <w:top w:type="dxa" w:w="60"/>
              <w:left w:type="dxa" w:w="100"/>
              <w:bottom w:type="dxa" w:w="60"/>
              <w:right w:type="dxa" w:w="100"/>
            </w:tcMar>
          </w:tcPr>
          <w:p>
            <w:pPr>
              <w:spacing w:after="120" w:before="0" w:line="276"/>
            </w:pPr>
            <w:r>
              <w:rPr>
                <w:rFonts w:ascii="Calibri" w:cs="Calibri" w:eastAsia="Calibri" w:hAnsi="Calibri"/>
                <w:i/>
                <w:iCs/>
                <w:color w:val="BA0C2F"/>
                <w:sz w:val="17"/>
                <w:szCs w:val="17"/>
              </w:rPr>
              <w:t xml:space="preserve">(required)</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Resource names to colour.</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highlight</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NULL</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Which series or resource to emphasise; everything else is greyed.</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accent</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NULL</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Override the accent colour.</w:t>
            </w:r>
          </w:p>
        </w:tc>
      </w:tr>
    </w:tbl>
    <w:p>
      <w:pPr>
        <w:pStyle w:val="Heading2"/>
        <w:spacing w:after="60" w:before="280"/>
      </w:pPr>
      <w:r>
        <w:rPr>
          <w:rFonts w:ascii="Consolas" w:cs="Consolas" w:eastAsia="Consolas" w:hAnsi="Consolas"/>
          <w:b/>
          <w:bCs/>
          <w:color w:val="1A1A1A"/>
          <w:sz w:val="26"/>
          <w:szCs w:val="26"/>
        </w:rPr>
        <w:t xml:space="preserve">essp.accent</w:t>
      </w:r>
    </w:p>
    <w:p>
      <w:pPr>
        <w:spacing w:after="120" w:before="0" w:line="276"/>
      </w:pPr>
      <w:r>
        <w:rPr>
          <w:rFonts w:ascii="Calibri" w:cs="Calibri" w:eastAsia="Calibri" w:hAnsi="Calibri"/>
          <w:b/>
          <w:bCs/>
          <w:color w:val="5A5A5A"/>
          <w:sz w:val="21"/>
          <w:szCs w:val="21"/>
        </w:rPr>
        <w:t xml:space="preserve">Accent color for a semester</w:t>
      </w:r>
    </w:p>
    <w:p>
      <w:pPr>
        <w:spacing w:after="120" w:before="0" w:line="276"/>
      </w:pPr>
      <w:r>
        <w:rPr>
          <w:rFonts w:ascii="Calibri" w:cs="Calibri" w:eastAsia="Calibri" w:hAnsi="Calibri"/>
          <w:color w:val="1A1A1A"/>
          <w:sz w:val="21"/>
          <w:szCs w:val="21"/>
        </w:rPr>
        <w:t xml:space="preserve">The accent colour for a given semester and year.</w:t>
      </w:r>
    </w:p>
    <w:p>
      <w:pPr>
        <w:pBdr>
          <w:left w:val="single" w:color="BA0C2F" w:sz="12" w:space="6"/>
        </w:pBdr>
        <w:shd w:fill="F5F5F3" w:val="clear"/>
        <w:spacing w:after="100" w:before="60"/>
        <w:ind w:left="180"/>
      </w:pPr>
      <w:r>
        <w:rPr>
          <w:rFonts w:ascii="Consolas" w:cs="Consolas" w:eastAsia="Consolas" w:hAnsi="Consolas"/>
          <w:color w:val="1A1A1A"/>
          <w:sz w:val="18"/>
          <w:szCs w:val="18"/>
        </w:rPr>
        <w:t xml:space="preserve">essp.accent(semester, year)</w:t>
      </w:r>
    </w:p>
    <w:tbl>
      <w:tblPr>
        <w:tblW w:type="dxa" w:w="9000"/>
        <w:tblBorders>
          <w:top w:val="single" w:color="D8D8D8" w:sz="6"/>
          <w:left w:val="none" w:color="FFFFFF" w:sz="0"/>
          <w:bottom w:val="single" w:color="D8D8D8" w:sz="6"/>
          <w:right w:val="none" w:color="FFFFFF" w:sz="0"/>
          <w:insideH w:val="single" w:color="D8D8D8" w:sz="4"/>
          <w:insideV w:val="none" w:color="FFFFFF" w:sz="0"/>
        </w:tblBorders>
      </w:tblPr>
      <w:tblGrid>
        <w:gridCol w:w="1500"/>
        <w:gridCol w:w="2200"/>
        <w:gridCol w:w="5300"/>
      </w:tblGrid>
      <w:tr>
        <w:trPr>
          <w:tblHeader/>
        </w:trPr>
        <w:tc>
          <w:tcPr>
            <w:tcW w:type="dxa" w:w="15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Argument</w:t>
            </w:r>
          </w:p>
        </w:tc>
        <w:tc>
          <w:tcPr>
            <w:tcW w:type="dxa" w:w="22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Default</w:t>
            </w:r>
          </w:p>
        </w:tc>
        <w:tc>
          <w:tcPr>
            <w:tcW w:type="dxa" w:w="53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What it controls</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semester</w:t>
            </w:r>
          </w:p>
        </w:tc>
        <w:tc>
          <w:tcPr>
            <w:tcW w:type="dxa" w:w="2200"/>
            <w:tcMar>
              <w:top w:type="dxa" w:w="60"/>
              <w:left w:type="dxa" w:w="100"/>
              <w:bottom w:type="dxa" w:w="60"/>
              <w:right w:type="dxa" w:w="100"/>
            </w:tcMar>
          </w:tcPr>
          <w:p>
            <w:pPr>
              <w:spacing w:after="120" w:before="0" w:line="276"/>
            </w:pPr>
            <w:r>
              <w:rPr>
                <w:rFonts w:ascii="Calibri" w:cs="Calibri" w:eastAsia="Calibri" w:hAnsi="Calibri"/>
                <w:i/>
                <w:iCs/>
                <w:color w:val="BA0C2F"/>
                <w:sz w:val="17"/>
                <w:szCs w:val="17"/>
              </w:rPr>
              <w:t xml:space="preserve">(required)</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Semester name; selects the accent colour.</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year</w:t>
            </w:r>
          </w:p>
        </w:tc>
        <w:tc>
          <w:tcPr>
            <w:tcW w:type="dxa" w:w="2200"/>
            <w:tcMar>
              <w:top w:type="dxa" w:w="60"/>
              <w:left w:type="dxa" w:w="100"/>
              <w:bottom w:type="dxa" w:w="60"/>
              <w:right w:type="dxa" w:w="100"/>
            </w:tcMar>
          </w:tcPr>
          <w:p>
            <w:pPr>
              <w:spacing w:after="120" w:before="0" w:line="276"/>
            </w:pPr>
            <w:r>
              <w:rPr>
                <w:rFonts w:ascii="Calibri" w:cs="Calibri" w:eastAsia="Calibri" w:hAnsi="Calibri"/>
                <w:i/>
                <w:iCs/>
                <w:color w:val="BA0C2F"/>
                <w:sz w:val="17"/>
                <w:szCs w:val="17"/>
              </w:rPr>
              <w:t xml:space="preserve">(required)</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Calendar year.</w:t>
            </w:r>
          </w:p>
        </w:tc>
      </w:tr>
    </w:tbl>
    <w:p>
      <w:pPr>
        <w:pStyle w:val="Heading2"/>
        <w:spacing w:after="60" w:before="280"/>
      </w:pPr>
      <w:r>
        <w:rPr>
          <w:rFonts w:ascii="Consolas" w:cs="Consolas" w:eastAsia="Consolas" w:hAnsi="Consolas"/>
          <w:b/>
          <w:bCs/>
          <w:color w:val="1A1A1A"/>
          <w:sz w:val="26"/>
          <w:szCs w:val="26"/>
        </w:rPr>
        <w:t xml:space="preserve">essp.textcolor</w:t>
      </w:r>
    </w:p>
    <w:p>
      <w:pPr>
        <w:spacing w:after="120" w:before="0" w:line="276"/>
      </w:pPr>
      <w:r>
        <w:rPr>
          <w:rFonts w:ascii="Calibri" w:cs="Calibri" w:eastAsia="Calibri" w:hAnsi="Calibri"/>
          <w:b/>
          <w:bCs/>
          <w:color w:val="5A5A5A"/>
          <w:sz w:val="21"/>
          <w:szCs w:val="21"/>
        </w:rPr>
        <w:t xml:space="preserve">Readable text color for a background</w:t>
      </w:r>
    </w:p>
    <w:p>
      <w:pPr>
        <w:spacing w:after="120" w:before="0" w:line="276"/>
      </w:pPr>
      <w:r>
        <w:rPr>
          <w:rFonts w:ascii="Calibri" w:cs="Calibri" w:eastAsia="Calibri" w:hAnsi="Calibri"/>
          <w:color w:val="1A1A1A"/>
          <w:sz w:val="21"/>
          <w:szCs w:val="21"/>
        </w:rPr>
        <w:t xml:space="preserve">Chooses black or white text for legibility against a given fill.</w:t>
      </w:r>
    </w:p>
    <w:p>
      <w:pPr>
        <w:pBdr>
          <w:left w:val="single" w:color="BA0C2F" w:sz="12" w:space="6"/>
        </w:pBdr>
        <w:shd w:fill="F5F5F3" w:val="clear"/>
        <w:spacing w:after="100" w:before="60"/>
        <w:ind w:left="180"/>
      </w:pPr>
      <w:r>
        <w:rPr>
          <w:rFonts w:ascii="Consolas" w:cs="Consolas" w:eastAsia="Consolas" w:hAnsi="Consolas"/>
          <w:color w:val="1A1A1A"/>
          <w:sz w:val="18"/>
          <w:szCs w:val="18"/>
        </w:rPr>
        <w:t xml:space="preserve">essp.textcolor(fill, dark = "#1A1A1A", light = "#FFFFFF")</w:t>
      </w:r>
    </w:p>
    <w:tbl>
      <w:tblPr>
        <w:tblW w:type="dxa" w:w="9000"/>
        <w:tblBorders>
          <w:top w:val="single" w:color="D8D8D8" w:sz="6"/>
          <w:left w:val="none" w:color="FFFFFF" w:sz="0"/>
          <w:bottom w:val="single" w:color="D8D8D8" w:sz="6"/>
          <w:right w:val="none" w:color="FFFFFF" w:sz="0"/>
          <w:insideH w:val="single" w:color="D8D8D8" w:sz="4"/>
          <w:insideV w:val="none" w:color="FFFFFF" w:sz="0"/>
        </w:tblBorders>
      </w:tblPr>
      <w:tblGrid>
        <w:gridCol w:w="1500"/>
        <w:gridCol w:w="2200"/>
        <w:gridCol w:w="5300"/>
      </w:tblGrid>
      <w:tr>
        <w:trPr>
          <w:tblHeader/>
        </w:trPr>
        <w:tc>
          <w:tcPr>
            <w:tcW w:type="dxa" w:w="15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Argument</w:t>
            </w:r>
          </w:p>
        </w:tc>
        <w:tc>
          <w:tcPr>
            <w:tcW w:type="dxa" w:w="22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Default</w:t>
            </w:r>
          </w:p>
        </w:tc>
        <w:tc>
          <w:tcPr>
            <w:tcW w:type="dxa" w:w="53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What it controls</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fill</w:t>
            </w:r>
          </w:p>
        </w:tc>
        <w:tc>
          <w:tcPr>
            <w:tcW w:type="dxa" w:w="2200"/>
            <w:tcMar>
              <w:top w:type="dxa" w:w="60"/>
              <w:left w:type="dxa" w:w="100"/>
              <w:bottom w:type="dxa" w:w="60"/>
              <w:right w:type="dxa" w:w="100"/>
            </w:tcMar>
          </w:tcPr>
          <w:p>
            <w:pPr>
              <w:spacing w:after="120" w:before="0" w:line="276"/>
            </w:pPr>
            <w:r>
              <w:rPr>
                <w:rFonts w:ascii="Calibri" w:cs="Calibri" w:eastAsia="Calibri" w:hAnsi="Calibri"/>
                <w:i/>
                <w:iCs/>
                <w:color w:val="BA0C2F"/>
                <w:sz w:val="17"/>
                <w:szCs w:val="17"/>
              </w:rPr>
              <w:t xml:space="preserve">(required)</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Column mapped to fill colour.</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dark</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"#1A1A1A"</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See the package help page.</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light</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"#FFFFFF"</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See the package help page.</w:t>
            </w:r>
          </w:p>
        </w:tc>
      </w:tr>
    </w:tbl>
    <w:p>
      <w:pPr>
        <w:pStyle w:val="Heading2"/>
        <w:spacing w:after="60" w:before="280"/>
      </w:pPr>
      <w:r>
        <w:rPr>
          <w:rFonts w:ascii="Consolas" w:cs="Consolas" w:eastAsia="Consolas" w:hAnsi="Consolas"/>
          <w:b/>
          <w:bCs/>
          <w:color w:val="1A1A1A"/>
          <w:sz w:val="26"/>
          <w:szCs w:val="26"/>
        </w:rPr>
        <w:t xml:space="preserve">essp.slots</w:t>
      </w:r>
    </w:p>
    <w:p>
      <w:pPr>
        <w:spacing w:after="120" w:before="0" w:line="276"/>
      </w:pPr>
      <w:r>
        <w:rPr>
          <w:rFonts w:ascii="Calibri" w:cs="Calibri" w:eastAsia="Calibri" w:hAnsi="Calibri"/>
          <w:b/>
          <w:bCs/>
          <w:color w:val="5A5A5A"/>
          <w:sz w:val="21"/>
          <w:szCs w:val="21"/>
        </w:rPr>
        <w:t xml:space="preserve">Figure slot dimensions</w:t>
      </w:r>
    </w:p>
    <w:p>
      <w:pPr>
        <w:spacing w:after="120" w:before="0" w:line="276"/>
      </w:pPr>
      <w:r>
        <w:rPr>
          <w:rFonts w:ascii="Calibri" w:cs="Calibri" w:eastAsia="Calibri" w:hAnsi="Calibri"/>
          <w:color w:val="1A1A1A"/>
          <w:sz w:val="21"/>
          <w:szCs w:val="21"/>
        </w:rPr>
        <w:t xml:space="preserve">Figure dimensions matching the slots the templates reserve, taken from the ggsave calls in the existing scripts.</w:t>
      </w:r>
    </w:p>
    <w:p>
      <w:pPr>
        <w:pBdr>
          <w:left w:val="single" w:color="BA0C2F" w:sz="12" w:space="6"/>
        </w:pBdr>
        <w:shd w:fill="F5F5F3" w:val="clear"/>
        <w:spacing w:after="100" w:before="60"/>
        <w:ind w:left="180"/>
      </w:pPr>
      <w:r>
        <w:rPr>
          <w:rFonts w:ascii="Consolas" w:cs="Consolas" w:eastAsia="Consolas" w:hAnsi="Consolas"/>
          <w:color w:val="1A1A1A"/>
          <w:sz w:val="18"/>
          <w:szCs w:val="18"/>
        </w:rPr>
        <w:t xml:space="preserve">essp.slots(slot = NULL)</w:t>
      </w:r>
    </w:p>
    <w:tbl>
      <w:tblPr>
        <w:tblW w:type="dxa" w:w="9000"/>
        <w:tblBorders>
          <w:top w:val="single" w:color="D8D8D8" w:sz="6"/>
          <w:left w:val="none" w:color="FFFFFF" w:sz="0"/>
          <w:bottom w:val="single" w:color="D8D8D8" w:sz="6"/>
          <w:right w:val="none" w:color="FFFFFF" w:sz="0"/>
          <w:insideH w:val="single" w:color="D8D8D8" w:sz="4"/>
          <w:insideV w:val="none" w:color="FFFFFF" w:sz="0"/>
        </w:tblBorders>
      </w:tblPr>
      <w:tblGrid>
        <w:gridCol w:w="1500"/>
        <w:gridCol w:w="2200"/>
        <w:gridCol w:w="5300"/>
      </w:tblGrid>
      <w:tr>
        <w:trPr>
          <w:tblHeader/>
        </w:trPr>
        <w:tc>
          <w:tcPr>
            <w:tcW w:type="dxa" w:w="15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Argument</w:t>
            </w:r>
          </w:p>
        </w:tc>
        <w:tc>
          <w:tcPr>
            <w:tcW w:type="dxa" w:w="22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Default</w:t>
            </w:r>
          </w:p>
        </w:tc>
        <w:tc>
          <w:tcPr>
            <w:tcW w:type="dxa" w:w="53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What it controls</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slot</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NULL</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Named figure size matching a template slot.</w:t>
            </w:r>
          </w:p>
        </w:tc>
      </w:tr>
    </w:tbl>
    <w:p>
      <w:pPr>
        <w:pStyle w:val="Heading2"/>
        <w:spacing w:after="60" w:before="280"/>
      </w:pPr>
      <w:r>
        <w:rPr>
          <w:rFonts w:ascii="Consolas" w:cs="Consolas" w:eastAsia="Consolas" w:hAnsi="Consolas"/>
          <w:b/>
          <w:bCs/>
          <w:color w:val="1A1A1A"/>
          <w:sz w:val="26"/>
          <w:szCs w:val="26"/>
        </w:rPr>
        <w:t xml:space="preserve">essp.save</w:t>
      </w:r>
    </w:p>
    <w:p>
      <w:pPr>
        <w:spacing w:after="120" w:before="0" w:line="276"/>
      </w:pPr>
      <w:r>
        <w:rPr>
          <w:rFonts w:ascii="Calibri" w:cs="Calibri" w:eastAsia="Calibri" w:hAnsi="Calibri"/>
          <w:b/>
          <w:bCs/>
          <w:color w:val="5A5A5A"/>
          <w:sz w:val="21"/>
          <w:szCs w:val="21"/>
        </w:rPr>
        <w:t xml:space="preserve">Save a figure at a template slot size</w:t>
      </w:r>
    </w:p>
    <w:p>
      <w:pPr>
        <w:spacing w:after="120" w:before="0" w:line="276"/>
      </w:pPr>
      <w:r>
        <w:rPr>
          <w:rFonts w:ascii="Calibri" w:cs="Calibri" w:eastAsia="Calibri" w:hAnsi="Calibri"/>
          <w:color w:val="1A1A1A"/>
          <w:sz w:val="21"/>
          <w:szCs w:val="21"/>
        </w:rPr>
        <w:t xml:space="preserve">Writes a chart to PNG and PDF at 300 dpi using a named slot size.</w:t>
      </w:r>
    </w:p>
    <w:p>
      <w:pPr>
        <w:pBdr>
          <w:left w:val="single" w:color="BA0C2F" w:sz="12" w:space="6"/>
        </w:pBdr>
        <w:shd w:fill="F5F5F3" w:val="clear"/>
        <w:spacing w:after="100" w:before="60"/>
        <w:ind w:left="180"/>
      </w:pPr>
      <w:r>
        <w:rPr>
          <w:rFonts w:ascii="Consolas" w:cs="Consolas" w:eastAsia="Consolas" w:hAnsi="Consolas"/>
          <w:color w:val="1A1A1A"/>
          <w:sz w:val="18"/>
          <w:szCs w:val="18"/>
        </w:rPr>
        <w:t xml:space="preserve">essp.save(
    plot,
    path,
    slot = NULL,
    width = NULL,
    height = NULL,
    formats = c("png", "pdf"),
    dpi = 300
)</w:t>
      </w:r>
    </w:p>
    <w:tbl>
      <w:tblPr>
        <w:tblW w:type="dxa" w:w="9000"/>
        <w:tblBorders>
          <w:top w:val="single" w:color="D8D8D8" w:sz="6"/>
          <w:left w:val="none" w:color="FFFFFF" w:sz="0"/>
          <w:bottom w:val="single" w:color="D8D8D8" w:sz="6"/>
          <w:right w:val="none" w:color="FFFFFF" w:sz="0"/>
          <w:insideH w:val="single" w:color="D8D8D8" w:sz="4"/>
          <w:insideV w:val="none" w:color="FFFFFF" w:sz="0"/>
        </w:tblBorders>
      </w:tblPr>
      <w:tblGrid>
        <w:gridCol w:w="1500"/>
        <w:gridCol w:w="2200"/>
        <w:gridCol w:w="5300"/>
      </w:tblGrid>
      <w:tr>
        <w:trPr>
          <w:tblHeader/>
        </w:trPr>
        <w:tc>
          <w:tcPr>
            <w:tcW w:type="dxa" w:w="15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Argument</w:t>
            </w:r>
          </w:p>
        </w:tc>
        <w:tc>
          <w:tcPr>
            <w:tcW w:type="dxa" w:w="22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Default</w:t>
            </w:r>
          </w:p>
        </w:tc>
        <w:tc>
          <w:tcPr>
            <w:tcW w:type="dxa" w:w="53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What it controls</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plot</w:t>
            </w:r>
          </w:p>
        </w:tc>
        <w:tc>
          <w:tcPr>
            <w:tcW w:type="dxa" w:w="2200"/>
            <w:tcMar>
              <w:top w:type="dxa" w:w="60"/>
              <w:left w:type="dxa" w:w="100"/>
              <w:bottom w:type="dxa" w:w="60"/>
              <w:right w:type="dxa" w:w="100"/>
            </w:tcMar>
          </w:tcPr>
          <w:p>
            <w:pPr>
              <w:spacing w:after="120" w:before="0" w:line="276"/>
            </w:pPr>
            <w:r>
              <w:rPr>
                <w:rFonts w:ascii="Calibri" w:cs="Calibri" w:eastAsia="Calibri" w:hAnsi="Calibri"/>
                <w:i/>
                <w:iCs/>
                <w:color w:val="BA0C2F"/>
                <w:sz w:val="17"/>
                <w:szCs w:val="17"/>
              </w:rPr>
              <w:t xml:space="preserve">(required)</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A ggplot object.</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path</w:t>
            </w:r>
          </w:p>
        </w:tc>
        <w:tc>
          <w:tcPr>
            <w:tcW w:type="dxa" w:w="2200"/>
            <w:tcMar>
              <w:top w:type="dxa" w:w="60"/>
              <w:left w:type="dxa" w:w="100"/>
              <w:bottom w:type="dxa" w:w="60"/>
              <w:right w:type="dxa" w:w="100"/>
            </w:tcMar>
          </w:tcPr>
          <w:p>
            <w:pPr>
              <w:spacing w:after="120" w:before="0" w:line="276"/>
            </w:pPr>
            <w:r>
              <w:rPr>
                <w:rFonts w:ascii="Calibri" w:cs="Calibri" w:eastAsia="Calibri" w:hAnsi="Calibri"/>
                <w:i/>
                <w:iCs/>
                <w:color w:val="BA0C2F"/>
                <w:sz w:val="17"/>
                <w:szCs w:val="17"/>
              </w:rPr>
              <w:t xml:space="preserve">(required)</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Output file path.</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slot</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NULL</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Named figure size matching a template slot.</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width</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NULL</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Width in inches; overrides the slot.</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height</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NULL</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Height in inches; overrides the slot.</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formats</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c("png", "pdf")</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Which file formats to write.</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dpi</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300</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Output resolution.</w:t>
            </w:r>
          </w:p>
        </w:tc>
      </w:tr>
    </w:tbl>
    <w:p>
      <w:pPr>
        <w:pStyle w:val="Heading2"/>
        <w:spacing w:after="60" w:before="280"/>
      </w:pPr>
      <w:r>
        <w:rPr>
          <w:rFonts w:ascii="Consolas" w:cs="Consolas" w:eastAsia="Consolas" w:hAnsi="Consolas"/>
          <w:b/>
          <w:bCs/>
          <w:color w:val="1A1A1A"/>
          <w:sz w:val="26"/>
          <w:szCs w:val="26"/>
        </w:rPr>
        <w:t xml:space="preserve">chart.fleetmakeup</w:t>
      </w:r>
    </w:p>
    <w:p>
      <w:pPr>
        <w:spacing w:after="120" w:before="0" w:line="276"/>
      </w:pPr>
      <w:r>
        <w:rPr>
          <w:rFonts w:ascii="Calibri" w:cs="Calibri" w:eastAsia="Calibri" w:hAnsi="Calibri"/>
          <w:b/>
          <w:bCs/>
          <w:color w:val="5A5A5A"/>
          <w:sz w:val="21"/>
          <w:szCs w:val="21"/>
        </w:rPr>
        <w:t xml:space="preserve">Capacity versus generation, as a 0-100\% stacked comparison</w:t>
      </w:r>
    </w:p>
    <w:p>
      <w:pPr>
        <w:spacing w:after="120" w:before="0" w:line="276"/>
      </w:pPr>
      <w:r>
        <w:rPr>
          <w:rFonts w:ascii="Calibri" w:cs="Calibri" w:eastAsia="Calibri" w:hAnsi="Calibri"/>
          <w:color w:val="1A1A1A"/>
          <w:sz w:val="21"/>
          <w:szCs w:val="21"/>
        </w:rPr>
        <w:t xml:space="preserve">The signature figure: capacity and generation as two 0-100 percent bars with one resource highlighted.</w:t>
      </w:r>
    </w:p>
    <w:p>
      <w:pPr>
        <w:pBdr>
          <w:left w:val="single" w:color="BA0C2F" w:sz="12" w:space="6"/>
        </w:pBdr>
        <w:shd w:fill="F5F5F3" w:val="clear"/>
        <w:spacing w:after="100" w:before="60"/>
        <w:ind w:left="180"/>
      </w:pPr>
      <w:r>
        <w:rPr>
          <w:rFonts w:ascii="Consolas" w:cs="Consolas" w:eastAsia="Consolas" w:hAnsi="Consolas"/>
          <w:color w:val="1A1A1A"/>
          <w:sz w:val="18"/>
          <w:szCs w:val="18"/>
        </w:rPr>
        <w:t xml:space="preserve">chart.fleetmakeup(
    data,
    highlight = NULL,
    accent = NULL,
    show_pct = TRUE,
    label_min = 3,
    semester = "Fall",
    year = as.integer(format(Sys.Date(), "%Y"))
)</w:t>
      </w:r>
    </w:p>
    <w:tbl>
      <w:tblPr>
        <w:tblW w:type="dxa" w:w="9000"/>
        <w:tblBorders>
          <w:top w:val="single" w:color="D8D8D8" w:sz="6"/>
          <w:left w:val="none" w:color="FFFFFF" w:sz="0"/>
          <w:bottom w:val="single" w:color="D8D8D8" w:sz="6"/>
          <w:right w:val="none" w:color="FFFFFF" w:sz="0"/>
          <w:insideH w:val="single" w:color="D8D8D8" w:sz="4"/>
          <w:insideV w:val="none" w:color="FFFFFF" w:sz="0"/>
        </w:tblBorders>
      </w:tblPr>
      <w:tblGrid>
        <w:gridCol w:w="1500"/>
        <w:gridCol w:w="2200"/>
        <w:gridCol w:w="5300"/>
      </w:tblGrid>
      <w:tr>
        <w:trPr>
          <w:tblHeader/>
        </w:trPr>
        <w:tc>
          <w:tcPr>
            <w:tcW w:type="dxa" w:w="15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Argument</w:t>
            </w:r>
          </w:p>
        </w:tc>
        <w:tc>
          <w:tcPr>
            <w:tcW w:type="dxa" w:w="22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Default</w:t>
            </w:r>
          </w:p>
        </w:tc>
        <w:tc>
          <w:tcPr>
            <w:tcW w:type="dxa" w:w="53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What it controls</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data</w:t>
            </w:r>
          </w:p>
        </w:tc>
        <w:tc>
          <w:tcPr>
            <w:tcW w:type="dxa" w:w="2200"/>
            <w:tcMar>
              <w:top w:type="dxa" w:w="60"/>
              <w:left w:type="dxa" w:w="100"/>
              <w:bottom w:type="dxa" w:w="60"/>
              <w:right w:type="dxa" w:w="100"/>
            </w:tcMar>
          </w:tcPr>
          <w:p>
            <w:pPr>
              <w:spacing w:after="120" w:before="0" w:line="276"/>
            </w:pPr>
            <w:r>
              <w:rPr>
                <w:rFonts w:ascii="Calibri" w:cs="Calibri" w:eastAsia="Calibri" w:hAnsi="Calibri"/>
                <w:i/>
                <w:iCs/>
                <w:color w:val="BA0C2F"/>
                <w:sz w:val="17"/>
                <w:szCs w:val="17"/>
              </w:rPr>
              <w:t xml:space="preserve">(required)</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A data frame, normally the output of the gather or analysis step named in the description.</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highlight</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NULL</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Which series or resource to emphasise; everything else is greyed.</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accent</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NULL</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Override the accent colour.</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show_pct</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TRUE</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See the package help page.</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label_min</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3</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Smallest share of peak, in percent, that still gets a label.</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semester</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"Fall"</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Semester name; selects the accent colour.</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year</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as.integer(format(Sys.Date(), "%Y"))</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Calendar year.</w:t>
            </w:r>
          </w:p>
        </w:tc>
      </w:tr>
    </w:tbl>
    <w:p>
      <w:pPr>
        <w:pStyle w:val="Heading2"/>
        <w:spacing w:after="60" w:before="280"/>
      </w:pPr>
      <w:r>
        <w:rPr>
          <w:rFonts w:ascii="Consolas" w:cs="Consolas" w:eastAsia="Consolas" w:hAnsi="Consolas"/>
          <w:b/>
          <w:bCs/>
          <w:color w:val="1A1A1A"/>
          <w:sz w:val="26"/>
          <w:szCs w:val="26"/>
        </w:rPr>
        <w:t xml:space="preserve">chart.demandcurve</w:t>
      </w:r>
    </w:p>
    <w:p>
      <w:pPr>
        <w:spacing w:after="120" w:before="0" w:line="276"/>
      </w:pPr>
      <w:r>
        <w:rPr>
          <w:rFonts w:ascii="Calibri" w:cs="Calibri" w:eastAsia="Calibri" w:hAnsi="Calibri"/>
          <w:b/>
          <w:bCs/>
          <w:color w:val="5A5A5A"/>
          <w:sz w:val="21"/>
          <w:szCs w:val="21"/>
        </w:rPr>
        <w:t xml:space="preserve">Daily demand curve, stacked by fuel</w:t>
      </w:r>
    </w:p>
    <w:p>
      <w:pPr>
        <w:spacing w:after="120" w:before="0" w:line="276"/>
      </w:pPr>
      <w:r>
        <w:rPr>
          <w:rFonts w:ascii="Calibri" w:cs="Calibri" w:eastAsia="Calibri" w:hAnsi="Calibri"/>
          <w:color w:val="1A1A1A"/>
          <w:sz w:val="21"/>
          <w:szCs w:val="21"/>
        </w:rPr>
        <w:t xml:space="preserve">Average generation by hour, stacked in dispatch order, with optional threshold bands, reserve margin, peak marker and storage charging below the axis.</w:t>
      </w:r>
    </w:p>
    <w:p>
      <w:pPr>
        <w:pBdr>
          <w:left w:val="single" w:color="BA0C2F" w:sz="12" w:space="6"/>
        </w:pBdr>
        <w:shd w:fill="F5F5F3" w:val="clear"/>
        <w:spacing w:after="100" w:before="60"/>
        <w:ind w:left="180"/>
      </w:pPr>
      <w:r>
        <w:rPr>
          <w:rFonts w:ascii="Consolas" w:cs="Consolas" w:eastAsia="Consolas" w:hAnsi="Consolas"/>
          <w:color w:val="1A1A1A"/>
          <w:sz w:val="18"/>
          <w:szCs w:val="18"/>
        </w:rPr>
        <w:t xml:space="preserve">chart.demandcurve(
    data,
    highlight = NULL,
    order = NULL,
    bands = NULL,
    reserve_margin = NULL,
    mark_peak = FALSE,
    smooth = TRUE,
    palette = c("house", "highlight"),
    bold = c("NUC", "COL", "SUN"),
    italic = c("WND"),
    accent = NULL,
    label_min = 4,
    semester = "Fall",
    year = as.integer(format(Sys.Date(), "%Y"))
)</w:t>
      </w:r>
    </w:p>
    <w:tbl>
      <w:tblPr>
        <w:tblW w:type="dxa" w:w="9000"/>
        <w:tblBorders>
          <w:top w:val="single" w:color="D8D8D8" w:sz="6"/>
          <w:left w:val="none" w:color="FFFFFF" w:sz="0"/>
          <w:bottom w:val="single" w:color="D8D8D8" w:sz="6"/>
          <w:right w:val="none" w:color="FFFFFF" w:sz="0"/>
          <w:insideH w:val="single" w:color="D8D8D8" w:sz="4"/>
          <w:insideV w:val="none" w:color="FFFFFF" w:sz="0"/>
        </w:tblBorders>
      </w:tblPr>
      <w:tblGrid>
        <w:gridCol w:w="1500"/>
        <w:gridCol w:w="2200"/>
        <w:gridCol w:w="5300"/>
      </w:tblGrid>
      <w:tr>
        <w:trPr>
          <w:tblHeader/>
        </w:trPr>
        <w:tc>
          <w:tcPr>
            <w:tcW w:type="dxa" w:w="15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Argument</w:t>
            </w:r>
          </w:p>
        </w:tc>
        <w:tc>
          <w:tcPr>
            <w:tcW w:type="dxa" w:w="22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Default</w:t>
            </w:r>
          </w:p>
        </w:tc>
        <w:tc>
          <w:tcPr>
            <w:tcW w:type="dxa" w:w="53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What it controls</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data</w:t>
            </w:r>
          </w:p>
        </w:tc>
        <w:tc>
          <w:tcPr>
            <w:tcW w:type="dxa" w:w="2200"/>
            <w:tcMar>
              <w:top w:type="dxa" w:w="60"/>
              <w:left w:type="dxa" w:w="100"/>
              <w:bottom w:type="dxa" w:w="60"/>
              <w:right w:type="dxa" w:w="100"/>
            </w:tcMar>
          </w:tcPr>
          <w:p>
            <w:pPr>
              <w:spacing w:after="120" w:before="0" w:line="276"/>
            </w:pPr>
            <w:r>
              <w:rPr>
                <w:rFonts w:ascii="Calibri" w:cs="Calibri" w:eastAsia="Calibri" w:hAnsi="Calibri"/>
                <w:i/>
                <w:iCs/>
                <w:color w:val="BA0C2F"/>
                <w:sz w:val="17"/>
                <w:szCs w:val="17"/>
              </w:rPr>
              <w:t xml:space="preserve">(required)</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A data frame, normally the output of the gather or analysis step named in the description.</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highlight</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NULL</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Which series or resource to emphasise; everything else is greyed.</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order</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NULL</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Fuel codes bottom to top in the stack. Defaults to dispatch order.</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bands</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NULL</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Named threshold levels in MW, drawn as dotted lines with labelled brackets.</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reserve_margin</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NULL</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Lower and upper bounds of a shaded reserve band.</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mark_peak</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FALSE</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Mark the peak of the stack with a dot and a leader line.</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smooth</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TRUE</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Spline-smooth the bands rather than drawing raw hourly steps.</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palette</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c("house", "highlight")</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house gives every fuel its own established colour; highlight greys all but one.</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bold</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c("NUC", "COL", "SUN")</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Fuel codes whose labels are drawn bold.</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italic</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c("WND")</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Fuel codes whose labels are drawn italic.</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accent</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NULL</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Override the accent colour.</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label_min</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4</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Smallest share of peak, in percent, that still gets a label.</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semester</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"Fall"</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Semester name; selects the accent colour.</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year</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as.integer(format(Sys.Date(), "%Y"))</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Calendar year.</w:t>
            </w:r>
          </w:p>
        </w:tc>
      </w:tr>
    </w:tbl>
    <w:p>
      <w:pPr>
        <w:pStyle w:val="Heading2"/>
        <w:spacing w:after="60" w:before="280"/>
      </w:pPr>
      <w:r>
        <w:rPr>
          <w:rFonts w:ascii="Consolas" w:cs="Consolas" w:eastAsia="Consolas" w:hAnsi="Consolas"/>
          <w:b/>
          <w:bCs/>
          <w:color w:val="1A1A1A"/>
          <w:sz w:val="26"/>
          <w:szCs w:val="26"/>
        </w:rPr>
        <w:t xml:space="preserve">chart.storagebands</w:t>
      </w:r>
    </w:p>
    <w:p>
      <w:pPr>
        <w:spacing w:after="120" w:before="0" w:line="276"/>
      </w:pPr>
      <w:r>
        <w:rPr>
          <w:rFonts w:ascii="Calibri" w:cs="Calibri" w:eastAsia="Calibri" w:hAnsi="Calibri"/>
          <w:b/>
          <w:bCs/>
          <w:color w:val="5A5A5A"/>
          <w:sz w:val="21"/>
          <w:szCs w:val="21"/>
        </w:rPr>
        <w:t xml:space="preserve">Battery charge and discharge by hour</w:t>
      </w:r>
    </w:p>
    <w:p>
      <w:pPr>
        <w:spacing w:after="120" w:before="0" w:line="276"/>
      </w:pPr>
      <w:r>
        <w:rPr>
          <w:rFonts w:ascii="Calibri" w:cs="Calibri" w:eastAsia="Calibri" w:hAnsi="Calibri"/>
          <w:color w:val="1A1A1A"/>
          <w:sz w:val="21"/>
          <w:szCs w:val="21"/>
        </w:rPr>
        <w:t xml:space="preserve">Battery charging below the axis and discharging above it, with the round-trip loss stated rather than hidden.</w:t>
      </w:r>
    </w:p>
    <w:p>
      <w:pPr>
        <w:pBdr>
          <w:left w:val="single" w:color="BA0C2F" w:sz="12" w:space="6"/>
        </w:pBdr>
        <w:shd w:fill="F5F5F3" w:val="clear"/>
        <w:spacing w:after="100" w:before="60"/>
        <w:ind w:left="180"/>
      </w:pPr>
      <w:r>
        <w:rPr>
          <w:rFonts w:ascii="Consolas" w:cs="Consolas" w:eastAsia="Consolas" w:hAnsi="Consolas"/>
          <w:color w:val="1A1A1A"/>
          <w:sz w:val="18"/>
          <w:szCs w:val="18"/>
        </w:rPr>
        <w:t xml:space="preserve">chart.storagebands(
    data,
    show_rte = TRUE,
    accent = NULL,
    semester = "Fall",
    year = as.integer(format(Sys.Date(), "%Y"))
)</w:t>
      </w:r>
    </w:p>
    <w:tbl>
      <w:tblPr>
        <w:tblW w:type="dxa" w:w="9000"/>
        <w:tblBorders>
          <w:top w:val="single" w:color="D8D8D8" w:sz="6"/>
          <w:left w:val="none" w:color="FFFFFF" w:sz="0"/>
          <w:bottom w:val="single" w:color="D8D8D8" w:sz="6"/>
          <w:right w:val="none" w:color="FFFFFF" w:sz="0"/>
          <w:insideH w:val="single" w:color="D8D8D8" w:sz="4"/>
          <w:insideV w:val="none" w:color="FFFFFF" w:sz="0"/>
        </w:tblBorders>
      </w:tblPr>
      <w:tblGrid>
        <w:gridCol w:w="1500"/>
        <w:gridCol w:w="2200"/>
        <w:gridCol w:w="5300"/>
      </w:tblGrid>
      <w:tr>
        <w:trPr>
          <w:tblHeader/>
        </w:trPr>
        <w:tc>
          <w:tcPr>
            <w:tcW w:type="dxa" w:w="15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Argument</w:t>
            </w:r>
          </w:p>
        </w:tc>
        <w:tc>
          <w:tcPr>
            <w:tcW w:type="dxa" w:w="22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Default</w:t>
            </w:r>
          </w:p>
        </w:tc>
        <w:tc>
          <w:tcPr>
            <w:tcW w:type="dxa" w:w="53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What it controls</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data</w:t>
            </w:r>
          </w:p>
        </w:tc>
        <w:tc>
          <w:tcPr>
            <w:tcW w:type="dxa" w:w="2200"/>
            <w:tcMar>
              <w:top w:type="dxa" w:w="60"/>
              <w:left w:type="dxa" w:w="100"/>
              <w:bottom w:type="dxa" w:w="60"/>
              <w:right w:type="dxa" w:w="100"/>
            </w:tcMar>
          </w:tcPr>
          <w:p>
            <w:pPr>
              <w:spacing w:after="120" w:before="0" w:line="276"/>
            </w:pPr>
            <w:r>
              <w:rPr>
                <w:rFonts w:ascii="Calibri" w:cs="Calibri" w:eastAsia="Calibri" w:hAnsi="Calibri"/>
                <w:i/>
                <w:iCs/>
                <w:color w:val="BA0C2F"/>
                <w:sz w:val="17"/>
                <w:szCs w:val="17"/>
              </w:rPr>
              <w:t xml:space="preserve">(required)</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A data frame, normally the output of the gather or analysis step named in the description.</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show_rte</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TRUE</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Annotate the implied round-trip efficiency.</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accent</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NULL</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Override the accent colour.</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semester</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"Fall"</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Semester name; selects the accent colour.</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year</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as.integer(format(Sys.Date(), "%Y"))</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Calendar year.</w:t>
            </w:r>
          </w:p>
        </w:tc>
      </w:tr>
    </w:tbl>
    <w:p>
      <w:pPr>
        <w:pStyle w:val="Heading2"/>
        <w:spacing w:after="60" w:before="280"/>
      </w:pPr>
      <w:r>
        <w:rPr>
          <w:rFonts w:ascii="Consolas" w:cs="Consolas" w:eastAsia="Consolas" w:hAnsi="Consolas"/>
          <w:b/>
          <w:bCs/>
          <w:color w:val="1A1A1A"/>
          <w:sz w:val="26"/>
          <w:szCs w:val="26"/>
        </w:rPr>
        <w:t xml:space="preserve">chart.durationcurve</w:t>
      </w:r>
    </w:p>
    <w:p>
      <w:pPr>
        <w:spacing w:after="120" w:before="0" w:line="276"/>
      </w:pPr>
      <w:r>
        <w:rPr>
          <w:rFonts w:ascii="Calibri" w:cs="Calibri" w:eastAsia="Calibri" w:hAnsi="Calibri"/>
          <w:b/>
          <w:bCs/>
          <w:color w:val="5A5A5A"/>
          <w:sz w:val="21"/>
          <w:szCs w:val="21"/>
        </w:rPr>
        <w:t xml:space="preserve">Load duration curve</w:t>
      </w:r>
    </w:p>
    <w:p>
      <w:pPr>
        <w:spacing w:after="120" w:before="0" w:line="276"/>
      </w:pPr>
      <w:r>
        <w:rPr>
          <w:rFonts w:ascii="Calibri" w:cs="Calibri" w:eastAsia="Calibri" w:hAnsi="Calibri"/>
          <w:color w:val="1A1A1A"/>
          <w:sz w:val="21"/>
          <w:szCs w:val="21"/>
        </w:rPr>
        <w:t xml:space="preserve">Load duration curve. The steep left edge is the argument for peaking capacity.</w:t>
      </w:r>
    </w:p>
    <w:p>
      <w:pPr>
        <w:pBdr>
          <w:left w:val="single" w:color="BA0C2F" w:sz="12" w:space="6"/>
        </w:pBdr>
        <w:shd w:fill="F5F5F3" w:val="clear"/>
        <w:spacing w:after="100" w:before="60"/>
        <w:ind w:left="180"/>
      </w:pPr>
      <w:r>
        <w:rPr>
          <w:rFonts w:ascii="Consolas" w:cs="Consolas" w:eastAsia="Consolas" w:hAnsi="Consolas"/>
          <w:color w:val="1A1A1A"/>
          <w:sz w:val="18"/>
          <w:szCs w:val="18"/>
        </w:rPr>
        <w:t xml:space="preserve">chart.durationcurve(
    data,
    highlight_pct = NULL,
    accent = NULL,
    semester = "Fall",
    year = as.integer(format(Sys.Date(), "%Y"))
)</w:t>
      </w:r>
    </w:p>
    <w:tbl>
      <w:tblPr>
        <w:tblW w:type="dxa" w:w="9000"/>
        <w:tblBorders>
          <w:top w:val="single" w:color="D8D8D8" w:sz="6"/>
          <w:left w:val="none" w:color="FFFFFF" w:sz="0"/>
          <w:bottom w:val="single" w:color="D8D8D8" w:sz="6"/>
          <w:right w:val="none" w:color="FFFFFF" w:sz="0"/>
          <w:insideH w:val="single" w:color="D8D8D8" w:sz="4"/>
          <w:insideV w:val="none" w:color="FFFFFF" w:sz="0"/>
        </w:tblBorders>
      </w:tblPr>
      <w:tblGrid>
        <w:gridCol w:w="1500"/>
        <w:gridCol w:w="2200"/>
        <w:gridCol w:w="5300"/>
      </w:tblGrid>
      <w:tr>
        <w:trPr>
          <w:tblHeader/>
        </w:trPr>
        <w:tc>
          <w:tcPr>
            <w:tcW w:type="dxa" w:w="15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Argument</w:t>
            </w:r>
          </w:p>
        </w:tc>
        <w:tc>
          <w:tcPr>
            <w:tcW w:type="dxa" w:w="22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Default</w:t>
            </w:r>
          </w:p>
        </w:tc>
        <w:tc>
          <w:tcPr>
            <w:tcW w:type="dxa" w:w="53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What it controls</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data</w:t>
            </w:r>
          </w:p>
        </w:tc>
        <w:tc>
          <w:tcPr>
            <w:tcW w:type="dxa" w:w="2200"/>
            <w:tcMar>
              <w:top w:type="dxa" w:w="60"/>
              <w:left w:type="dxa" w:w="100"/>
              <w:bottom w:type="dxa" w:w="60"/>
              <w:right w:type="dxa" w:w="100"/>
            </w:tcMar>
          </w:tcPr>
          <w:p>
            <w:pPr>
              <w:spacing w:after="120" w:before="0" w:line="276"/>
            </w:pPr>
            <w:r>
              <w:rPr>
                <w:rFonts w:ascii="Calibri" w:cs="Calibri" w:eastAsia="Calibri" w:hAnsi="Calibri"/>
                <w:i/>
                <w:iCs/>
                <w:color w:val="BA0C2F"/>
                <w:sz w:val="17"/>
                <w:szCs w:val="17"/>
              </w:rPr>
              <w:t xml:space="preserve">(required)</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A data frame, normally the output of the gather or analysis step named in the description.</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highlight_pct</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NULL</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Percentage of hours to mark with a reference line.</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accent</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NULL</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Override the accent colour.</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semester</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"Fall"</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Semester name; selects the accent colour.</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year</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as.integer(format(Sys.Date(), "%Y"))</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Calendar year.</w:t>
            </w:r>
          </w:p>
        </w:tc>
      </w:tr>
    </w:tbl>
    <w:p>
      <w:pPr>
        <w:pStyle w:val="Heading2"/>
        <w:spacing w:after="60" w:before="280"/>
      </w:pPr>
      <w:r>
        <w:rPr>
          <w:rFonts w:ascii="Consolas" w:cs="Consolas" w:eastAsia="Consolas" w:hAnsi="Consolas"/>
          <w:b/>
          <w:bCs/>
          <w:color w:val="1A1A1A"/>
          <w:sz w:val="26"/>
          <w:szCs w:val="26"/>
        </w:rPr>
        <w:t xml:space="preserve">chart.heatmap</w:t>
      </w:r>
    </w:p>
    <w:p>
      <w:pPr>
        <w:spacing w:after="120" w:before="0" w:line="276"/>
      </w:pPr>
      <w:r>
        <w:rPr>
          <w:rFonts w:ascii="Calibri" w:cs="Calibri" w:eastAsia="Calibri" w:hAnsi="Calibri"/>
          <w:b/>
          <w:bCs/>
          <w:color w:val="5A5A5A"/>
          <w:sz w:val="21"/>
          <w:szCs w:val="21"/>
        </w:rPr>
        <w:t xml:space="preserve">Intensity grid</w:t>
      </w:r>
    </w:p>
    <w:p>
      <w:pPr>
        <w:spacing w:after="120" w:before="0" w:line="276"/>
      </w:pPr>
      <w:r>
        <w:rPr>
          <w:rFonts w:ascii="Calibri" w:cs="Calibri" w:eastAsia="Calibri" w:hAnsi="Calibri"/>
          <w:color w:val="1A1A1A"/>
          <w:sz w:val="21"/>
          <w:szCs w:val="21"/>
        </w:rPr>
        <w:t xml:space="preserve">One value across two discrete dimensions, most often hour against month.</w:t>
      </w:r>
    </w:p>
    <w:p>
      <w:pPr>
        <w:pBdr>
          <w:left w:val="single" w:color="BA0C2F" w:sz="12" w:space="6"/>
        </w:pBdr>
        <w:shd w:fill="F5F5F3" w:val="clear"/>
        <w:spacing w:after="100" w:before="60"/>
        <w:ind w:left="180"/>
      </w:pPr>
      <w:r>
        <w:rPr>
          <w:rFonts w:ascii="Consolas" w:cs="Consolas" w:eastAsia="Consolas" w:hAnsi="Consolas"/>
          <w:color w:val="1A1A1A"/>
          <w:sz w:val="18"/>
          <w:szCs w:val="18"/>
        </w:rPr>
        <w:t xml:space="preserve">chart.heatmap(
    data,
    x,
    y,
    value,
    label = FALSE,
    semester = "Fall",
    year = as.integer(format(Sys.Date(), "%Y"))
)</w:t>
      </w:r>
    </w:p>
    <w:tbl>
      <w:tblPr>
        <w:tblW w:type="dxa" w:w="9000"/>
        <w:tblBorders>
          <w:top w:val="single" w:color="D8D8D8" w:sz="6"/>
          <w:left w:val="none" w:color="FFFFFF" w:sz="0"/>
          <w:bottom w:val="single" w:color="D8D8D8" w:sz="6"/>
          <w:right w:val="none" w:color="FFFFFF" w:sz="0"/>
          <w:insideH w:val="single" w:color="D8D8D8" w:sz="4"/>
          <w:insideV w:val="none" w:color="FFFFFF" w:sz="0"/>
        </w:tblBorders>
      </w:tblPr>
      <w:tblGrid>
        <w:gridCol w:w="1500"/>
        <w:gridCol w:w="2200"/>
        <w:gridCol w:w="5300"/>
      </w:tblGrid>
      <w:tr>
        <w:trPr>
          <w:tblHeader/>
        </w:trPr>
        <w:tc>
          <w:tcPr>
            <w:tcW w:type="dxa" w:w="15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Argument</w:t>
            </w:r>
          </w:p>
        </w:tc>
        <w:tc>
          <w:tcPr>
            <w:tcW w:type="dxa" w:w="22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Default</w:t>
            </w:r>
          </w:p>
        </w:tc>
        <w:tc>
          <w:tcPr>
            <w:tcW w:type="dxa" w:w="53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What it controls</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data</w:t>
            </w:r>
          </w:p>
        </w:tc>
        <w:tc>
          <w:tcPr>
            <w:tcW w:type="dxa" w:w="2200"/>
            <w:tcMar>
              <w:top w:type="dxa" w:w="60"/>
              <w:left w:type="dxa" w:w="100"/>
              <w:bottom w:type="dxa" w:w="60"/>
              <w:right w:type="dxa" w:w="100"/>
            </w:tcMar>
          </w:tcPr>
          <w:p>
            <w:pPr>
              <w:spacing w:after="120" w:before="0" w:line="276"/>
            </w:pPr>
            <w:r>
              <w:rPr>
                <w:rFonts w:ascii="Calibri" w:cs="Calibri" w:eastAsia="Calibri" w:hAnsi="Calibri"/>
                <w:i/>
                <w:iCs/>
                <w:color w:val="BA0C2F"/>
                <w:sz w:val="17"/>
                <w:szCs w:val="17"/>
              </w:rPr>
              <w:t xml:space="preserve">(required)</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A data frame, normally the output of the gather or analysis step named in the description.</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x</w:t>
            </w:r>
          </w:p>
        </w:tc>
        <w:tc>
          <w:tcPr>
            <w:tcW w:type="dxa" w:w="2200"/>
            <w:tcMar>
              <w:top w:type="dxa" w:w="60"/>
              <w:left w:type="dxa" w:w="100"/>
              <w:bottom w:type="dxa" w:w="60"/>
              <w:right w:type="dxa" w:w="100"/>
            </w:tcMar>
          </w:tcPr>
          <w:p>
            <w:pPr>
              <w:spacing w:after="120" w:before="0" w:line="276"/>
            </w:pPr>
            <w:r>
              <w:rPr>
                <w:rFonts w:ascii="Calibri" w:cs="Calibri" w:eastAsia="Calibri" w:hAnsi="Calibri"/>
                <w:i/>
                <w:iCs/>
                <w:color w:val="BA0C2F"/>
                <w:sz w:val="17"/>
                <w:szCs w:val="17"/>
              </w:rPr>
              <w:t xml:space="preserve">(required)</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Column mapped to the horizontal axis.</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y</w:t>
            </w:r>
          </w:p>
        </w:tc>
        <w:tc>
          <w:tcPr>
            <w:tcW w:type="dxa" w:w="2200"/>
            <w:tcMar>
              <w:top w:type="dxa" w:w="60"/>
              <w:left w:type="dxa" w:w="100"/>
              <w:bottom w:type="dxa" w:w="60"/>
              <w:right w:type="dxa" w:w="100"/>
            </w:tcMar>
          </w:tcPr>
          <w:p>
            <w:pPr>
              <w:spacing w:after="120" w:before="0" w:line="276"/>
            </w:pPr>
            <w:r>
              <w:rPr>
                <w:rFonts w:ascii="Calibri" w:cs="Calibri" w:eastAsia="Calibri" w:hAnsi="Calibri"/>
                <w:i/>
                <w:iCs/>
                <w:color w:val="BA0C2F"/>
                <w:sz w:val="17"/>
                <w:szCs w:val="17"/>
              </w:rPr>
              <w:t xml:space="preserve">(required)</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Column mapped to the vertical axis.</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value</w:t>
            </w:r>
          </w:p>
        </w:tc>
        <w:tc>
          <w:tcPr>
            <w:tcW w:type="dxa" w:w="2200"/>
            <w:tcMar>
              <w:top w:type="dxa" w:w="60"/>
              <w:left w:type="dxa" w:w="100"/>
              <w:bottom w:type="dxa" w:w="60"/>
              <w:right w:type="dxa" w:w="100"/>
            </w:tcMar>
          </w:tcPr>
          <w:p>
            <w:pPr>
              <w:spacing w:after="120" w:before="0" w:line="276"/>
            </w:pPr>
            <w:r>
              <w:rPr>
                <w:rFonts w:ascii="Calibri" w:cs="Calibri" w:eastAsia="Calibri" w:hAnsi="Calibri"/>
                <w:i/>
                <w:iCs/>
                <w:color w:val="BA0C2F"/>
                <w:sz w:val="17"/>
                <w:szCs w:val="17"/>
              </w:rPr>
              <w:t xml:space="preserve">(required)</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Name of the numeric column, as a string.</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label</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FALSE</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Column supplying the text label.</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semester</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"Fall"</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Semester name; selects the accent colour.</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year</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as.integer(format(Sys.Date(), "%Y"))</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Calendar year.</w:t>
            </w:r>
          </w:p>
        </w:tc>
      </w:tr>
    </w:tbl>
    <w:p>
      <w:pPr>
        <w:pStyle w:val="Heading2"/>
        <w:spacing w:after="60" w:before="280"/>
      </w:pPr>
      <w:r>
        <w:rPr>
          <w:rFonts w:ascii="Consolas" w:cs="Consolas" w:eastAsia="Consolas" w:hAnsi="Consolas"/>
          <w:b/>
          <w:bCs/>
          <w:color w:val="1A1A1A"/>
          <w:sz w:val="26"/>
          <w:szCs w:val="26"/>
        </w:rPr>
        <w:t xml:space="preserve">chart.timeseries</w:t>
      </w:r>
    </w:p>
    <w:p>
      <w:pPr>
        <w:spacing w:after="120" w:before="0" w:line="276"/>
      </w:pPr>
      <w:r>
        <w:rPr>
          <w:rFonts w:ascii="Calibri" w:cs="Calibri" w:eastAsia="Calibri" w:hAnsi="Calibri"/>
          <w:b/>
          <w:bCs/>
          <w:color w:val="5A5A5A"/>
          <w:sz w:val="21"/>
          <w:szCs w:val="21"/>
        </w:rPr>
        <w:t xml:space="preserve">Multi-series line chart</w:t>
      </w:r>
    </w:p>
    <w:p>
      <w:pPr>
        <w:spacing w:after="120" w:before="0" w:line="276"/>
      </w:pPr>
      <w:r>
        <w:rPr>
          <w:rFonts w:ascii="Calibri" w:cs="Calibri" w:eastAsia="Calibri" w:hAnsi="Calibri"/>
          <w:color w:val="1A1A1A"/>
          <w:sz w:val="21"/>
          <w:szCs w:val="21"/>
        </w:rPr>
        <w:t xml:space="preserve">Multi-series line chart with the series under discussion accented and the rest greyed.</w:t>
      </w:r>
    </w:p>
    <w:p>
      <w:pPr>
        <w:pBdr>
          <w:left w:val="single" w:color="BA0C2F" w:sz="12" w:space="6"/>
        </w:pBdr>
        <w:shd w:fill="F5F5F3" w:val="clear"/>
        <w:spacing w:after="100" w:before="60"/>
        <w:ind w:left="180"/>
      </w:pPr>
      <w:r>
        <w:rPr>
          <w:rFonts w:ascii="Consolas" w:cs="Consolas" w:eastAsia="Consolas" w:hAnsi="Consolas"/>
          <w:color w:val="1A1A1A"/>
          <w:sz w:val="18"/>
          <w:szCs w:val="18"/>
        </w:rPr>
        <w:t xml:space="preserve">chart.timeseries(
    data,
    x,
    y,
    group = NULL,
    highlight = NULL,
    direct_label = TRUE,
    accent = NULL,
    semester = "Fall",
    year = as.integer(format(Sys.Date(), "%Y"))
)</w:t>
      </w:r>
    </w:p>
    <w:tbl>
      <w:tblPr>
        <w:tblW w:type="dxa" w:w="9000"/>
        <w:tblBorders>
          <w:top w:val="single" w:color="D8D8D8" w:sz="6"/>
          <w:left w:val="none" w:color="FFFFFF" w:sz="0"/>
          <w:bottom w:val="single" w:color="D8D8D8" w:sz="6"/>
          <w:right w:val="none" w:color="FFFFFF" w:sz="0"/>
          <w:insideH w:val="single" w:color="D8D8D8" w:sz="4"/>
          <w:insideV w:val="none" w:color="FFFFFF" w:sz="0"/>
        </w:tblBorders>
      </w:tblPr>
      <w:tblGrid>
        <w:gridCol w:w="1500"/>
        <w:gridCol w:w="2200"/>
        <w:gridCol w:w="5300"/>
      </w:tblGrid>
      <w:tr>
        <w:trPr>
          <w:tblHeader/>
        </w:trPr>
        <w:tc>
          <w:tcPr>
            <w:tcW w:type="dxa" w:w="15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Argument</w:t>
            </w:r>
          </w:p>
        </w:tc>
        <w:tc>
          <w:tcPr>
            <w:tcW w:type="dxa" w:w="22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Default</w:t>
            </w:r>
          </w:p>
        </w:tc>
        <w:tc>
          <w:tcPr>
            <w:tcW w:type="dxa" w:w="53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What it controls</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data</w:t>
            </w:r>
          </w:p>
        </w:tc>
        <w:tc>
          <w:tcPr>
            <w:tcW w:type="dxa" w:w="2200"/>
            <w:tcMar>
              <w:top w:type="dxa" w:w="60"/>
              <w:left w:type="dxa" w:w="100"/>
              <w:bottom w:type="dxa" w:w="60"/>
              <w:right w:type="dxa" w:w="100"/>
            </w:tcMar>
          </w:tcPr>
          <w:p>
            <w:pPr>
              <w:spacing w:after="120" w:before="0" w:line="276"/>
            </w:pPr>
            <w:r>
              <w:rPr>
                <w:rFonts w:ascii="Calibri" w:cs="Calibri" w:eastAsia="Calibri" w:hAnsi="Calibri"/>
                <w:i/>
                <w:iCs/>
                <w:color w:val="BA0C2F"/>
                <w:sz w:val="17"/>
                <w:szCs w:val="17"/>
              </w:rPr>
              <w:t xml:space="preserve">(required)</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A data frame, normally the output of the gather or analysis step named in the description.</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x</w:t>
            </w:r>
          </w:p>
        </w:tc>
        <w:tc>
          <w:tcPr>
            <w:tcW w:type="dxa" w:w="2200"/>
            <w:tcMar>
              <w:top w:type="dxa" w:w="60"/>
              <w:left w:type="dxa" w:w="100"/>
              <w:bottom w:type="dxa" w:w="60"/>
              <w:right w:type="dxa" w:w="100"/>
            </w:tcMar>
          </w:tcPr>
          <w:p>
            <w:pPr>
              <w:spacing w:after="120" w:before="0" w:line="276"/>
            </w:pPr>
            <w:r>
              <w:rPr>
                <w:rFonts w:ascii="Calibri" w:cs="Calibri" w:eastAsia="Calibri" w:hAnsi="Calibri"/>
                <w:i/>
                <w:iCs/>
                <w:color w:val="BA0C2F"/>
                <w:sz w:val="17"/>
                <w:szCs w:val="17"/>
              </w:rPr>
              <w:t xml:space="preserve">(required)</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Column mapped to the horizontal axis.</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y</w:t>
            </w:r>
          </w:p>
        </w:tc>
        <w:tc>
          <w:tcPr>
            <w:tcW w:type="dxa" w:w="2200"/>
            <w:tcMar>
              <w:top w:type="dxa" w:w="60"/>
              <w:left w:type="dxa" w:w="100"/>
              <w:bottom w:type="dxa" w:w="60"/>
              <w:right w:type="dxa" w:w="100"/>
            </w:tcMar>
          </w:tcPr>
          <w:p>
            <w:pPr>
              <w:spacing w:after="120" w:before="0" w:line="276"/>
            </w:pPr>
            <w:r>
              <w:rPr>
                <w:rFonts w:ascii="Calibri" w:cs="Calibri" w:eastAsia="Calibri" w:hAnsi="Calibri"/>
                <w:i/>
                <w:iCs/>
                <w:color w:val="BA0C2F"/>
                <w:sz w:val="17"/>
                <w:szCs w:val="17"/>
              </w:rPr>
              <w:t xml:space="preserve">(required)</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Column mapped to the vertical axis.</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group</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NULL</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Grouping column.</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highlight</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NULL</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Which series or resource to emphasise; everything else is greyed.</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direct_label</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TRUE</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Label each line at its end instead of using a legend.</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accent</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NULL</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Override the accent colour.</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semester</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"Fall"</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Semester name; selects the accent colour.</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year</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as.integer(format(Sys.Date(), "%Y"))</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Calendar year.</w:t>
            </w:r>
          </w:p>
        </w:tc>
      </w:tr>
    </w:tbl>
    <w:p>
      <w:pPr>
        <w:pStyle w:val="Heading2"/>
        <w:spacing w:after="60" w:before="280"/>
      </w:pPr>
      <w:r>
        <w:rPr>
          <w:rFonts w:ascii="Consolas" w:cs="Consolas" w:eastAsia="Consolas" w:hAnsi="Consolas"/>
          <w:b/>
          <w:bCs/>
          <w:color w:val="1A1A1A"/>
          <w:sz w:val="26"/>
          <w:szCs w:val="26"/>
        </w:rPr>
        <w:t xml:space="preserve">chart.multiples</w:t>
      </w:r>
    </w:p>
    <w:p>
      <w:pPr>
        <w:spacing w:after="120" w:before="0" w:line="276"/>
      </w:pPr>
      <w:r>
        <w:rPr>
          <w:rFonts w:ascii="Calibri" w:cs="Calibri" w:eastAsia="Calibri" w:hAnsi="Calibri"/>
          <w:b/>
          <w:bCs/>
          <w:color w:val="5A5A5A"/>
          <w:sz w:val="21"/>
          <w:szCs w:val="21"/>
        </w:rPr>
        <w:t xml:space="preserve">Small multiples</w:t>
      </w:r>
    </w:p>
    <w:p>
      <w:pPr>
        <w:spacing w:after="120" w:before="0" w:line="276"/>
      </w:pPr>
      <w:r>
        <w:rPr>
          <w:rFonts w:ascii="Calibri" w:cs="Calibri" w:eastAsia="Calibri" w:hAnsi="Calibri"/>
          <w:color w:val="1A1A1A"/>
          <w:sz w:val="21"/>
          <w:szCs w:val="21"/>
        </w:rPr>
        <w:t xml:space="preserve">One panel per group on a shared scale.</w:t>
      </w:r>
    </w:p>
    <w:p>
      <w:pPr>
        <w:pBdr>
          <w:left w:val="single" w:color="BA0C2F" w:sz="12" w:space="6"/>
        </w:pBdr>
        <w:shd w:fill="F5F5F3" w:val="clear"/>
        <w:spacing w:after="100" w:before="60"/>
        <w:ind w:left="180"/>
      </w:pPr>
      <w:r>
        <w:rPr>
          <w:rFonts w:ascii="Consolas" w:cs="Consolas" w:eastAsia="Consolas" w:hAnsi="Consolas"/>
          <w:color w:val="1A1A1A"/>
          <w:sz w:val="18"/>
          <w:szCs w:val="18"/>
        </w:rPr>
        <w:t xml:space="preserve">chart.multiples(
    data,
    x,
    y,
    facet,
    ncol = 1,
    scales = "fixed",
    accent = NULL,
    semester = "Fall",
    year = as.integer(format(Sys.Date(), "%Y"))
)</w:t>
      </w:r>
    </w:p>
    <w:tbl>
      <w:tblPr>
        <w:tblW w:type="dxa" w:w="9000"/>
        <w:tblBorders>
          <w:top w:val="single" w:color="D8D8D8" w:sz="6"/>
          <w:left w:val="none" w:color="FFFFFF" w:sz="0"/>
          <w:bottom w:val="single" w:color="D8D8D8" w:sz="6"/>
          <w:right w:val="none" w:color="FFFFFF" w:sz="0"/>
          <w:insideH w:val="single" w:color="D8D8D8" w:sz="4"/>
          <w:insideV w:val="none" w:color="FFFFFF" w:sz="0"/>
        </w:tblBorders>
      </w:tblPr>
      <w:tblGrid>
        <w:gridCol w:w="1500"/>
        <w:gridCol w:w="2200"/>
        <w:gridCol w:w="5300"/>
      </w:tblGrid>
      <w:tr>
        <w:trPr>
          <w:tblHeader/>
        </w:trPr>
        <w:tc>
          <w:tcPr>
            <w:tcW w:type="dxa" w:w="15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Argument</w:t>
            </w:r>
          </w:p>
        </w:tc>
        <w:tc>
          <w:tcPr>
            <w:tcW w:type="dxa" w:w="22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Default</w:t>
            </w:r>
          </w:p>
        </w:tc>
        <w:tc>
          <w:tcPr>
            <w:tcW w:type="dxa" w:w="53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What it controls</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data</w:t>
            </w:r>
          </w:p>
        </w:tc>
        <w:tc>
          <w:tcPr>
            <w:tcW w:type="dxa" w:w="2200"/>
            <w:tcMar>
              <w:top w:type="dxa" w:w="60"/>
              <w:left w:type="dxa" w:w="100"/>
              <w:bottom w:type="dxa" w:w="60"/>
              <w:right w:type="dxa" w:w="100"/>
            </w:tcMar>
          </w:tcPr>
          <w:p>
            <w:pPr>
              <w:spacing w:after="120" w:before="0" w:line="276"/>
            </w:pPr>
            <w:r>
              <w:rPr>
                <w:rFonts w:ascii="Calibri" w:cs="Calibri" w:eastAsia="Calibri" w:hAnsi="Calibri"/>
                <w:i/>
                <w:iCs/>
                <w:color w:val="BA0C2F"/>
                <w:sz w:val="17"/>
                <w:szCs w:val="17"/>
              </w:rPr>
              <w:t xml:space="preserve">(required)</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A data frame, normally the output of the gather or analysis step named in the description.</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x</w:t>
            </w:r>
          </w:p>
        </w:tc>
        <w:tc>
          <w:tcPr>
            <w:tcW w:type="dxa" w:w="2200"/>
            <w:tcMar>
              <w:top w:type="dxa" w:w="60"/>
              <w:left w:type="dxa" w:w="100"/>
              <w:bottom w:type="dxa" w:w="60"/>
              <w:right w:type="dxa" w:w="100"/>
            </w:tcMar>
          </w:tcPr>
          <w:p>
            <w:pPr>
              <w:spacing w:after="120" w:before="0" w:line="276"/>
            </w:pPr>
            <w:r>
              <w:rPr>
                <w:rFonts w:ascii="Calibri" w:cs="Calibri" w:eastAsia="Calibri" w:hAnsi="Calibri"/>
                <w:i/>
                <w:iCs/>
                <w:color w:val="BA0C2F"/>
                <w:sz w:val="17"/>
                <w:szCs w:val="17"/>
              </w:rPr>
              <w:t xml:space="preserve">(required)</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Column mapped to the horizontal axis.</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y</w:t>
            </w:r>
          </w:p>
        </w:tc>
        <w:tc>
          <w:tcPr>
            <w:tcW w:type="dxa" w:w="2200"/>
            <w:tcMar>
              <w:top w:type="dxa" w:w="60"/>
              <w:left w:type="dxa" w:w="100"/>
              <w:bottom w:type="dxa" w:w="60"/>
              <w:right w:type="dxa" w:w="100"/>
            </w:tcMar>
          </w:tcPr>
          <w:p>
            <w:pPr>
              <w:spacing w:after="120" w:before="0" w:line="276"/>
            </w:pPr>
            <w:r>
              <w:rPr>
                <w:rFonts w:ascii="Calibri" w:cs="Calibri" w:eastAsia="Calibri" w:hAnsi="Calibri"/>
                <w:i/>
                <w:iCs/>
                <w:color w:val="BA0C2F"/>
                <w:sz w:val="17"/>
                <w:szCs w:val="17"/>
              </w:rPr>
              <w:t xml:space="preserve">(required)</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Column mapped to the vertical axis.</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facet</w:t>
            </w:r>
          </w:p>
        </w:tc>
        <w:tc>
          <w:tcPr>
            <w:tcW w:type="dxa" w:w="2200"/>
            <w:tcMar>
              <w:top w:type="dxa" w:w="60"/>
              <w:left w:type="dxa" w:w="100"/>
              <w:bottom w:type="dxa" w:w="60"/>
              <w:right w:type="dxa" w:w="100"/>
            </w:tcMar>
          </w:tcPr>
          <w:p>
            <w:pPr>
              <w:spacing w:after="120" w:before="0" w:line="276"/>
            </w:pPr>
            <w:r>
              <w:rPr>
                <w:rFonts w:ascii="Calibri" w:cs="Calibri" w:eastAsia="Calibri" w:hAnsi="Calibri"/>
                <w:i/>
                <w:iCs/>
                <w:color w:val="BA0C2F"/>
                <w:sz w:val="17"/>
                <w:szCs w:val="17"/>
              </w:rPr>
              <w:t xml:space="preserve">(required)</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Column to facet by.</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ncol</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1</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Number of facet columns.</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scales</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"fixed"</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Passed to facet_wrap; fixed keeps panels comparable.</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accent</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NULL</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Override the accent colour.</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semester</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"Fall"</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Semester name; selects the accent colour.</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year</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as.integer(format(Sys.Date(), "%Y"))</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Calendar year.</w:t>
            </w:r>
          </w:p>
        </w:tc>
      </w:tr>
    </w:tbl>
    <w:p>
      <w:pPr>
        <w:pStyle w:val="Heading2"/>
        <w:spacing w:after="60" w:before="280"/>
      </w:pPr>
      <w:r>
        <w:rPr>
          <w:rFonts w:ascii="Consolas" w:cs="Consolas" w:eastAsia="Consolas" w:hAnsi="Consolas"/>
          <w:b/>
          <w:bCs/>
          <w:color w:val="1A1A1A"/>
          <w:sz w:val="26"/>
          <w:szCs w:val="26"/>
        </w:rPr>
        <w:t xml:space="preserve">chart.share</w:t>
      </w:r>
    </w:p>
    <w:p>
      <w:pPr>
        <w:spacing w:after="120" w:before="0" w:line="276"/>
      </w:pPr>
      <w:r>
        <w:rPr>
          <w:rFonts w:ascii="Calibri" w:cs="Calibri" w:eastAsia="Calibri" w:hAnsi="Calibri"/>
          <w:b/>
          <w:bCs/>
          <w:color w:val="5A5A5A"/>
          <w:sz w:val="21"/>
          <w:szCs w:val="21"/>
        </w:rPr>
        <w:t xml:space="preserve">Composition over time</w:t>
      </w:r>
    </w:p>
    <w:p>
      <w:pPr>
        <w:spacing w:after="120" w:before="0" w:line="276"/>
      </w:pPr>
      <w:r>
        <w:rPr>
          <w:rFonts w:ascii="Calibri" w:cs="Calibri" w:eastAsia="Calibri" w:hAnsi="Calibri"/>
          <w:color w:val="1A1A1A"/>
          <w:sz w:val="21"/>
          <w:szCs w:val="21"/>
        </w:rPr>
        <w:t xml:space="preserve">A 100 percent stacked area showing how a mix shifts. Relative change only.</w:t>
      </w:r>
    </w:p>
    <w:p>
      <w:pPr>
        <w:pBdr>
          <w:left w:val="single" w:color="BA0C2F" w:sz="12" w:space="6"/>
        </w:pBdr>
        <w:shd w:fill="F5F5F3" w:val="clear"/>
        <w:spacing w:after="100" w:before="60"/>
        <w:ind w:left="180"/>
      </w:pPr>
      <w:r>
        <w:rPr>
          <w:rFonts w:ascii="Consolas" w:cs="Consolas" w:eastAsia="Consolas" w:hAnsi="Consolas"/>
          <w:color w:val="1A1A1A"/>
          <w:sz w:val="18"/>
          <w:szCs w:val="18"/>
        </w:rPr>
        <w:t xml:space="preserve">chart.share(
    data,
    x,
    fill,
    value,
    highlight = NULL,
    accent = NULL,
    semester = "Fall",
    year = as.integer(format(Sys.Date(), "%Y"))
)</w:t>
      </w:r>
    </w:p>
    <w:tbl>
      <w:tblPr>
        <w:tblW w:type="dxa" w:w="9000"/>
        <w:tblBorders>
          <w:top w:val="single" w:color="D8D8D8" w:sz="6"/>
          <w:left w:val="none" w:color="FFFFFF" w:sz="0"/>
          <w:bottom w:val="single" w:color="D8D8D8" w:sz="6"/>
          <w:right w:val="none" w:color="FFFFFF" w:sz="0"/>
          <w:insideH w:val="single" w:color="D8D8D8" w:sz="4"/>
          <w:insideV w:val="none" w:color="FFFFFF" w:sz="0"/>
        </w:tblBorders>
      </w:tblPr>
      <w:tblGrid>
        <w:gridCol w:w="1500"/>
        <w:gridCol w:w="2200"/>
        <w:gridCol w:w="5300"/>
      </w:tblGrid>
      <w:tr>
        <w:trPr>
          <w:tblHeader/>
        </w:trPr>
        <w:tc>
          <w:tcPr>
            <w:tcW w:type="dxa" w:w="15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Argument</w:t>
            </w:r>
          </w:p>
        </w:tc>
        <w:tc>
          <w:tcPr>
            <w:tcW w:type="dxa" w:w="22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Default</w:t>
            </w:r>
          </w:p>
        </w:tc>
        <w:tc>
          <w:tcPr>
            <w:tcW w:type="dxa" w:w="53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What it controls</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data</w:t>
            </w:r>
          </w:p>
        </w:tc>
        <w:tc>
          <w:tcPr>
            <w:tcW w:type="dxa" w:w="2200"/>
            <w:tcMar>
              <w:top w:type="dxa" w:w="60"/>
              <w:left w:type="dxa" w:w="100"/>
              <w:bottom w:type="dxa" w:w="60"/>
              <w:right w:type="dxa" w:w="100"/>
            </w:tcMar>
          </w:tcPr>
          <w:p>
            <w:pPr>
              <w:spacing w:after="120" w:before="0" w:line="276"/>
            </w:pPr>
            <w:r>
              <w:rPr>
                <w:rFonts w:ascii="Calibri" w:cs="Calibri" w:eastAsia="Calibri" w:hAnsi="Calibri"/>
                <w:i/>
                <w:iCs/>
                <w:color w:val="BA0C2F"/>
                <w:sz w:val="17"/>
                <w:szCs w:val="17"/>
              </w:rPr>
              <w:t xml:space="preserve">(required)</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A data frame, normally the output of the gather or analysis step named in the description.</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x</w:t>
            </w:r>
          </w:p>
        </w:tc>
        <w:tc>
          <w:tcPr>
            <w:tcW w:type="dxa" w:w="2200"/>
            <w:tcMar>
              <w:top w:type="dxa" w:w="60"/>
              <w:left w:type="dxa" w:w="100"/>
              <w:bottom w:type="dxa" w:w="60"/>
              <w:right w:type="dxa" w:w="100"/>
            </w:tcMar>
          </w:tcPr>
          <w:p>
            <w:pPr>
              <w:spacing w:after="120" w:before="0" w:line="276"/>
            </w:pPr>
            <w:r>
              <w:rPr>
                <w:rFonts w:ascii="Calibri" w:cs="Calibri" w:eastAsia="Calibri" w:hAnsi="Calibri"/>
                <w:i/>
                <w:iCs/>
                <w:color w:val="BA0C2F"/>
                <w:sz w:val="17"/>
                <w:szCs w:val="17"/>
              </w:rPr>
              <w:t xml:space="preserve">(required)</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Column mapped to the horizontal axis.</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fill</w:t>
            </w:r>
          </w:p>
        </w:tc>
        <w:tc>
          <w:tcPr>
            <w:tcW w:type="dxa" w:w="2200"/>
            <w:tcMar>
              <w:top w:type="dxa" w:w="60"/>
              <w:left w:type="dxa" w:w="100"/>
              <w:bottom w:type="dxa" w:w="60"/>
              <w:right w:type="dxa" w:w="100"/>
            </w:tcMar>
          </w:tcPr>
          <w:p>
            <w:pPr>
              <w:spacing w:after="120" w:before="0" w:line="276"/>
            </w:pPr>
            <w:r>
              <w:rPr>
                <w:rFonts w:ascii="Calibri" w:cs="Calibri" w:eastAsia="Calibri" w:hAnsi="Calibri"/>
                <w:i/>
                <w:iCs/>
                <w:color w:val="BA0C2F"/>
                <w:sz w:val="17"/>
                <w:szCs w:val="17"/>
              </w:rPr>
              <w:t xml:space="preserve">(required)</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Column mapped to fill colour.</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value</w:t>
            </w:r>
          </w:p>
        </w:tc>
        <w:tc>
          <w:tcPr>
            <w:tcW w:type="dxa" w:w="2200"/>
            <w:tcMar>
              <w:top w:type="dxa" w:w="60"/>
              <w:left w:type="dxa" w:w="100"/>
              <w:bottom w:type="dxa" w:w="60"/>
              <w:right w:type="dxa" w:w="100"/>
            </w:tcMar>
          </w:tcPr>
          <w:p>
            <w:pPr>
              <w:spacing w:after="120" w:before="0" w:line="276"/>
            </w:pPr>
            <w:r>
              <w:rPr>
                <w:rFonts w:ascii="Calibri" w:cs="Calibri" w:eastAsia="Calibri" w:hAnsi="Calibri"/>
                <w:i/>
                <w:iCs/>
                <w:color w:val="BA0C2F"/>
                <w:sz w:val="17"/>
                <w:szCs w:val="17"/>
              </w:rPr>
              <w:t xml:space="preserve">(required)</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Name of the numeric column, as a string.</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highlight</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NULL</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Which series or resource to emphasise; everything else is greyed.</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accent</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NULL</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Override the accent colour.</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semester</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"Fall"</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Semester name; selects the accent colour.</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year</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as.integer(format(Sys.Date(), "%Y"))</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Calendar year.</w:t>
            </w:r>
          </w:p>
        </w:tc>
      </w:tr>
    </w:tbl>
    <w:p>
      <w:pPr>
        <w:pStyle w:val="Heading2"/>
        <w:spacing w:after="60" w:before="280"/>
      </w:pPr>
      <w:r>
        <w:rPr>
          <w:rFonts w:ascii="Consolas" w:cs="Consolas" w:eastAsia="Consolas" w:hAnsi="Consolas"/>
          <w:b/>
          <w:bCs/>
          <w:color w:val="1A1A1A"/>
          <w:sz w:val="26"/>
          <w:szCs w:val="26"/>
        </w:rPr>
        <w:t xml:space="preserve">chart.ranked</w:t>
      </w:r>
    </w:p>
    <w:p>
      <w:pPr>
        <w:spacing w:after="120" w:before="0" w:line="276"/>
      </w:pPr>
      <w:r>
        <w:rPr>
          <w:rFonts w:ascii="Calibri" w:cs="Calibri" w:eastAsia="Calibri" w:hAnsi="Calibri"/>
          <w:b/>
          <w:bCs/>
          <w:color w:val="5A5A5A"/>
          <w:sz w:val="21"/>
          <w:szCs w:val="21"/>
        </w:rPr>
        <w:t xml:space="preserve">Ranked bar chart</w:t>
      </w:r>
    </w:p>
    <w:p>
      <w:pPr>
        <w:spacing w:after="120" w:before="0" w:line="276"/>
      </w:pPr>
      <w:r>
        <w:rPr>
          <w:rFonts w:ascii="Calibri" w:cs="Calibri" w:eastAsia="Calibri" w:hAnsi="Calibri"/>
          <w:color w:val="1A1A1A"/>
          <w:sz w:val="21"/>
          <w:szCs w:val="21"/>
        </w:rPr>
        <w:t xml:space="preserve">Top-N categories as horizontal bars with cumulative share.</w:t>
      </w:r>
    </w:p>
    <w:p>
      <w:pPr>
        <w:pBdr>
          <w:left w:val="single" w:color="BA0C2F" w:sz="12" w:space="6"/>
        </w:pBdr>
        <w:shd w:fill="F5F5F3" w:val="clear"/>
        <w:spacing w:after="100" w:before="60"/>
        <w:ind w:left="180"/>
      </w:pPr>
      <w:r>
        <w:rPr>
          <w:rFonts w:ascii="Consolas" w:cs="Consolas" w:eastAsia="Consolas" w:hAnsi="Consolas"/>
          <w:color w:val="1A1A1A"/>
          <w:sz w:val="18"/>
          <w:szCs w:val="18"/>
        </w:rPr>
        <w:t xml:space="preserve">chart.ranked(
    data,
    label,
    value,
    n = 10,
    cumulative = TRUE,
    highlight = NULL,
    accent = NULL,
    semester = "Fall",
    year = as.integer(format(Sys.Date(), "%Y"))
)</w:t>
      </w:r>
    </w:p>
    <w:tbl>
      <w:tblPr>
        <w:tblW w:type="dxa" w:w="9000"/>
        <w:tblBorders>
          <w:top w:val="single" w:color="D8D8D8" w:sz="6"/>
          <w:left w:val="none" w:color="FFFFFF" w:sz="0"/>
          <w:bottom w:val="single" w:color="D8D8D8" w:sz="6"/>
          <w:right w:val="none" w:color="FFFFFF" w:sz="0"/>
          <w:insideH w:val="single" w:color="D8D8D8" w:sz="4"/>
          <w:insideV w:val="none" w:color="FFFFFF" w:sz="0"/>
        </w:tblBorders>
      </w:tblPr>
      <w:tblGrid>
        <w:gridCol w:w="1500"/>
        <w:gridCol w:w="2200"/>
        <w:gridCol w:w="5300"/>
      </w:tblGrid>
      <w:tr>
        <w:trPr>
          <w:tblHeader/>
        </w:trPr>
        <w:tc>
          <w:tcPr>
            <w:tcW w:type="dxa" w:w="15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Argument</w:t>
            </w:r>
          </w:p>
        </w:tc>
        <w:tc>
          <w:tcPr>
            <w:tcW w:type="dxa" w:w="22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Default</w:t>
            </w:r>
          </w:p>
        </w:tc>
        <w:tc>
          <w:tcPr>
            <w:tcW w:type="dxa" w:w="53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What it controls</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data</w:t>
            </w:r>
          </w:p>
        </w:tc>
        <w:tc>
          <w:tcPr>
            <w:tcW w:type="dxa" w:w="2200"/>
            <w:tcMar>
              <w:top w:type="dxa" w:w="60"/>
              <w:left w:type="dxa" w:w="100"/>
              <w:bottom w:type="dxa" w:w="60"/>
              <w:right w:type="dxa" w:w="100"/>
            </w:tcMar>
          </w:tcPr>
          <w:p>
            <w:pPr>
              <w:spacing w:after="120" w:before="0" w:line="276"/>
            </w:pPr>
            <w:r>
              <w:rPr>
                <w:rFonts w:ascii="Calibri" w:cs="Calibri" w:eastAsia="Calibri" w:hAnsi="Calibri"/>
                <w:i/>
                <w:iCs/>
                <w:color w:val="BA0C2F"/>
                <w:sz w:val="17"/>
                <w:szCs w:val="17"/>
              </w:rPr>
              <w:t xml:space="preserve">(required)</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A data frame, normally the output of the gather or analysis step named in the description.</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label</w:t>
            </w:r>
          </w:p>
        </w:tc>
        <w:tc>
          <w:tcPr>
            <w:tcW w:type="dxa" w:w="2200"/>
            <w:tcMar>
              <w:top w:type="dxa" w:w="60"/>
              <w:left w:type="dxa" w:w="100"/>
              <w:bottom w:type="dxa" w:w="60"/>
              <w:right w:type="dxa" w:w="100"/>
            </w:tcMar>
          </w:tcPr>
          <w:p>
            <w:pPr>
              <w:spacing w:after="120" w:before="0" w:line="276"/>
            </w:pPr>
            <w:r>
              <w:rPr>
                <w:rFonts w:ascii="Calibri" w:cs="Calibri" w:eastAsia="Calibri" w:hAnsi="Calibri"/>
                <w:i/>
                <w:iCs/>
                <w:color w:val="BA0C2F"/>
                <w:sz w:val="17"/>
                <w:szCs w:val="17"/>
              </w:rPr>
              <w:t xml:space="preserve">(required)</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Column supplying the text label.</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value</w:t>
            </w:r>
          </w:p>
        </w:tc>
        <w:tc>
          <w:tcPr>
            <w:tcW w:type="dxa" w:w="2200"/>
            <w:tcMar>
              <w:top w:type="dxa" w:w="60"/>
              <w:left w:type="dxa" w:w="100"/>
              <w:bottom w:type="dxa" w:w="60"/>
              <w:right w:type="dxa" w:w="100"/>
            </w:tcMar>
          </w:tcPr>
          <w:p>
            <w:pPr>
              <w:spacing w:after="120" w:before="0" w:line="276"/>
            </w:pPr>
            <w:r>
              <w:rPr>
                <w:rFonts w:ascii="Calibri" w:cs="Calibri" w:eastAsia="Calibri" w:hAnsi="Calibri"/>
                <w:i/>
                <w:iCs/>
                <w:color w:val="BA0C2F"/>
                <w:sz w:val="17"/>
                <w:szCs w:val="17"/>
              </w:rPr>
              <w:t xml:space="preserve">(required)</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Name of the numeric column, as a string.</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n</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10</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How many rows to return or show.</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cumulative</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TRUE</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Annotate the cumulative share of the bars shown.</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highlight</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NULL</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Which series or resource to emphasise; everything else is greyed.</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accent</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NULL</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Override the accent colour.</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semester</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"Fall"</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Semester name; selects the accent colour.</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year</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as.integer(format(Sys.Date(), "%Y"))</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Calendar year.</w:t>
            </w:r>
          </w:p>
        </w:tc>
      </w:tr>
    </w:tbl>
    <w:p>
      <w:pPr>
        <w:pStyle w:val="Heading2"/>
        <w:spacing w:after="60" w:before="280"/>
      </w:pPr>
      <w:r>
        <w:rPr>
          <w:rFonts w:ascii="Consolas" w:cs="Consolas" w:eastAsia="Consolas" w:hAnsi="Consolas"/>
          <w:b/>
          <w:bCs/>
          <w:color w:val="1A1A1A"/>
          <w:sz w:val="26"/>
          <w:szCs w:val="26"/>
        </w:rPr>
        <w:t xml:space="preserve">chart.map</w:t>
      </w:r>
    </w:p>
    <w:p>
      <w:pPr>
        <w:spacing w:after="120" w:before="0" w:line="276"/>
      </w:pPr>
      <w:r>
        <w:rPr>
          <w:rFonts w:ascii="Calibri" w:cs="Calibri" w:eastAsia="Calibri" w:hAnsi="Calibri"/>
          <w:b/>
          <w:bCs/>
          <w:color w:val="5A5A5A"/>
          <w:sz w:val="21"/>
          <w:szCs w:val="21"/>
        </w:rPr>
        <w:t xml:space="preserve">State tile map</w:t>
      </w:r>
    </w:p>
    <w:p>
      <w:pPr>
        <w:spacing w:after="120" w:before="0" w:line="276"/>
      </w:pPr>
      <w:r>
        <w:rPr>
          <w:rFonts w:ascii="Calibri" w:cs="Calibri" w:eastAsia="Calibri" w:hAnsi="Calibri"/>
          <w:color w:val="1A1A1A"/>
          <w:sz w:val="21"/>
          <w:szCs w:val="21"/>
        </w:rPr>
        <w:t xml:space="preserve">A choropleth on a tile grid rather than true boundaries, so small states stay visible at figure size.</w:t>
      </w:r>
    </w:p>
    <w:p>
      <w:pPr>
        <w:pBdr>
          <w:left w:val="single" w:color="BA0C2F" w:sz="12" w:space="6"/>
        </w:pBdr>
        <w:shd w:fill="F5F5F3" w:val="clear"/>
        <w:spacing w:after="100" w:before="60"/>
        <w:ind w:left="180"/>
      </w:pPr>
      <w:r>
        <w:rPr>
          <w:rFonts w:ascii="Consolas" w:cs="Consolas" w:eastAsia="Consolas" w:hAnsi="Consolas"/>
          <w:color w:val="1A1A1A"/>
          <w:sz w:val="18"/>
          <w:szCs w:val="18"/>
        </w:rPr>
        <w:t xml:space="preserve">chart.map(
    data,
    state,
    value,
    label = TRUE,
    semester = "Fall",
    year = as.integer(format(Sys.Date(), "%Y"))
)</w:t>
      </w:r>
    </w:p>
    <w:tbl>
      <w:tblPr>
        <w:tblW w:type="dxa" w:w="9000"/>
        <w:tblBorders>
          <w:top w:val="single" w:color="D8D8D8" w:sz="6"/>
          <w:left w:val="none" w:color="FFFFFF" w:sz="0"/>
          <w:bottom w:val="single" w:color="D8D8D8" w:sz="6"/>
          <w:right w:val="none" w:color="FFFFFF" w:sz="0"/>
          <w:insideH w:val="single" w:color="D8D8D8" w:sz="4"/>
          <w:insideV w:val="none" w:color="FFFFFF" w:sz="0"/>
        </w:tblBorders>
      </w:tblPr>
      <w:tblGrid>
        <w:gridCol w:w="1500"/>
        <w:gridCol w:w="2200"/>
        <w:gridCol w:w="5300"/>
      </w:tblGrid>
      <w:tr>
        <w:trPr>
          <w:tblHeader/>
        </w:trPr>
        <w:tc>
          <w:tcPr>
            <w:tcW w:type="dxa" w:w="15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Argument</w:t>
            </w:r>
          </w:p>
        </w:tc>
        <w:tc>
          <w:tcPr>
            <w:tcW w:type="dxa" w:w="22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Default</w:t>
            </w:r>
          </w:p>
        </w:tc>
        <w:tc>
          <w:tcPr>
            <w:tcW w:type="dxa" w:w="53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What it controls</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data</w:t>
            </w:r>
          </w:p>
        </w:tc>
        <w:tc>
          <w:tcPr>
            <w:tcW w:type="dxa" w:w="2200"/>
            <w:tcMar>
              <w:top w:type="dxa" w:w="60"/>
              <w:left w:type="dxa" w:w="100"/>
              <w:bottom w:type="dxa" w:w="60"/>
              <w:right w:type="dxa" w:w="100"/>
            </w:tcMar>
          </w:tcPr>
          <w:p>
            <w:pPr>
              <w:spacing w:after="120" w:before="0" w:line="276"/>
            </w:pPr>
            <w:r>
              <w:rPr>
                <w:rFonts w:ascii="Calibri" w:cs="Calibri" w:eastAsia="Calibri" w:hAnsi="Calibri"/>
                <w:i/>
                <w:iCs/>
                <w:color w:val="BA0C2F"/>
                <w:sz w:val="17"/>
                <w:szCs w:val="17"/>
              </w:rPr>
              <w:t xml:space="preserve">(required)</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A data frame, normally the output of the gather or analysis step named in the description.</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state</w:t>
            </w:r>
          </w:p>
        </w:tc>
        <w:tc>
          <w:tcPr>
            <w:tcW w:type="dxa" w:w="2200"/>
            <w:tcMar>
              <w:top w:type="dxa" w:w="60"/>
              <w:left w:type="dxa" w:w="100"/>
              <w:bottom w:type="dxa" w:w="60"/>
              <w:right w:type="dxa" w:w="100"/>
            </w:tcMar>
          </w:tcPr>
          <w:p>
            <w:pPr>
              <w:spacing w:after="120" w:before="0" w:line="276"/>
            </w:pPr>
            <w:r>
              <w:rPr>
                <w:rFonts w:ascii="Calibri" w:cs="Calibri" w:eastAsia="Calibri" w:hAnsi="Calibri"/>
                <w:i/>
                <w:iCs/>
                <w:color w:val="BA0C2F"/>
                <w:sz w:val="17"/>
                <w:szCs w:val="17"/>
              </w:rPr>
              <w:t xml:space="preserve">(required)</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State code such as GA, a vector of them, or US for the national figure.</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value</w:t>
            </w:r>
          </w:p>
        </w:tc>
        <w:tc>
          <w:tcPr>
            <w:tcW w:type="dxa" w:w="2200"/>
            <w:tcMar>
              <w:top w:type="dxa" w:w="60"/>
              <w:left w:type="dxa" w:w="100"/>
              <w:bottom w:type="dxa" w:w="60"/>
              <w:right w:type="dxa" w:w="100"/>
            </w:tcMar>
          </w:tcPr>
          <w:p>
            <w:pPr>
              <w:spacing w:after="120" w:before="0" w:line="276"/>
            </w:pPr>
            <w:r>
              <w:rPr>
                <w:rFonts w:ascii="Calibri" w:cs="Calibri" w:eastAsia="Calibri" w:hAnsi="Calibri"/>
                <w:i/>
                <w:iCs/>
                <w:color w:val="BA0C2F"/>
                <w:sz w:val="17"/>
                <w:szCs w:val="17"/>
              </w:rPr>
              <w:t xml:space="preserve">(required)</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Name of the numeric column, as a string.</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label</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TRUE</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Column supplying the text label.</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semester</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"Fall"</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Semester name; selects the accent colour.</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year</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as.integer(format(Sys.Date(), "%Y"))</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Calendar year.</w:t>
            </w:r>
          </w:p>
        </w:tc>
      </w:tr>
    </w:tbl>
    <w:p>
      <w:pPr>
        <w:pStyle w:val="Heading2"/>
        <w:spacing w:after="60" w:before="280"/>
      </w:pPr>
      <w:r>
        <w:rPr>
          <w:rFonts w:ascii="Consolas" w:cs="Consolas" w:eastAsia="Consolas" w:hAnsi="Consolas"/>
          <w:b/>
          <w:bCs/>
          <w:color w:val="1A1A1A"/>
          <w:sz w:val="26"/>
          <w:szCs w:val="26"/>
        </w:rPr>
        <w:t xml:space="preserve">chart.box</w:t>
      </w:r>
    </w:p>
    <w:p>
      <w:pPr>
        <w:spacing w:after="120" w:before="0" w:line="276"/>
      </w:pPr>
      <w:r>
        <w:rPr>
          <w:rFonts w:ascii="Calibri" w:cs="Calibri" w:eastAsia="Calibri" w:hAnsi="Calibri"/>
          <w:b/>
          <w:bCs/>
          <w:color w:val="5A5A5A"/>
          <w:sz w:val="21"/>
          <w:szCs w:val="21"/>
        </w:rPr>
        <w:t xml:space="preserve">Distribution by group</w:t>
      </w:r>
    </w:p>
    <w:p>
      <w:pPr>
        <w:spacing w:after="120" w:before="0" w:line="276"/>
      </w:pPr>
      <w:r>
        <w:rPr>
          <w:rFonts w:ascii="Calibri" w:cs="Calibri" w:eastAsia="Calibri" w:hAnsi="Calibri"/>
          <w:color w:val="1A1A1A"/>
          <w:sz w:val="21"/>
          <w:szCs w:val="21"/>
        </w:rPr>
        <w:t xml:space="preserve">Distribution by group, with the underlying points overlaid.</w:t>
      </w:r>
    </w:p>
    <w:p>
      <w:pPr>
        <w:pBdr>
          <w:left w:val="single" w:color="BA0C2F" w:sz="12" w:space="6"/>
        </w:pBdr>
        <w:shd w:fill="F5F5F3" w:val="clear"/>
        <w:spacing w:after="100" w:before="60"/>
        <w:ind w:left="180"/>
      </w:pPr>
      <w:r>
        <w:rPr>
          <w:rFonts w:ascii="Consolas" w:cs="Consolas" w:eastAsia="Consolas" w:hAnsi="Consolas"/>
          <w:color w:val="1A1A1A"/>
          <w:sz w:val="18"/>
          <w:szCs w:val="18"/>
        </w:rPr>
        <w:t xml:space="preserve">chart.box(
    data,
    group,
    value,
    points = TRUE,
    accent = NULL,
    semester = "Fall",
    year = as.integer(format(Sys.Date(), "%Y"))
)</w:t>
      </w:r>
    </w:p>
    <w:tbl>
      <w:tblPr>
        <w:tblW w:type="dxa" w:w="9000"/>
        <w:tblBorders>
          <w:top w:val="single" w:color="D8D8D8" w:sz="6"/>
          <w:left w:val="none" w:color="FFFFFF" w:sz="0"/>
          <w:bottom w:val="single" w:color="D8D8D8" w:sz="6"/>
          <w:right w:val="none" w:color="FFFFFF" w:sz="0"/>
          <w:insideH w:val="single" w:color="D8D8D8" w:sz="4"/>
          <w:insideV w:val="none" w:color="FFFFFF" w:sz="0"/>
        </w:tblBorders>
      </w:tblPr>
      <w:tblGrid>
        <w:gridCol w:w="1500"/>
        <w:gridCol w:w="2200"/>
        <w:gridCol w:w="5300"/>
      </w:tblGrid>
      <w:tr>
        <w:trPr>
          <w:tblHeader/>
        </w:trPr>
        <w:tc>
          <w:tcPr>
            <w:tcW w:type="dxa" w:w="15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Argument</w:t>
            </w:r>
          </w:p>
        </w:tc>
        <w:tc>
          <w:tcPr>
            <w:tcW w:type="dxa" w:w="22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Default</w:t>
            </w:r>
          </w:p>
        </w:tc>
        <w:tc>
          <w:tcPr>
            <w:tcW w:type="dxa" w:w="53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What it controls</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data</w:t>
            </w:r>
          </w:p>
        </w:tc>
        <w:tc>
          <w:tcPr>
            <w:tcW w:type="dxa" w:w="2200"/>
            <w:tcMar>
              <w:top w:type="dxa" w:w="60"/>
              <w:left w:type="dxa" w:w="100"/>
              <w:bottom w:type="dxa" w:w="60"/>
              <w:right w:type="dxa" w:w="100"/>
            </w:tcMar>
          </w:tcPr>
          <w:p>
            <w:pPr>
              <w:spacing w:after="120" w:before="0" w:line="276"/>
            </w:pPr>
            <w:r>
              <w:rPr>
                <w:rFonts w:ascii="Calibri" w:cs="Calibri" w:eastAsia="Calibri" w:hAnsi="Calibri"/>
                <w:i/>
                <w:iCs/>
                <w:color w:val="BA0C2F"/>
                <w:sz w:val="17"/>
                <w:szCs w:val="17"/>
              </w:rPr>
              <w:t xml:space="preserve">(required)</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A data frame, normally the output of the gather or analysis step named in the description.</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group</w:t>
            </w:r>
          </w:p>
        </w:tc>
        <w:tc>
          <w:tcPr>
            <w:tcW w:type="dxa" w:w="2200"/>
            <w:tcMar>
              <w:top w:type="dxa" w:w="60"/>
              <w:left w:type="dxa" w:w="100"/>
              <w:bottom w:type="dxa" w:w="60"/>
              <w:right w:type="dxa" w:w="100"/>
            </w:tcMar>
          </w:tcPr>
          <w:p>
            <w:pPr>
              <w:spacing w:after="120" w:before="0" w:line="276"/>
            </w:pPr>
            <w:r>
              <w:rPr>
                <w:rFonts w:ascii="Calibri" w:cs="Calibri" w:eastAsia="Calibri" w:hAnsi="Calibri"/>
                <w:i/>
                <w:iCs/>
                <w:color w:val="BA0C2F"/>
                <w:sz w:val="17"/>
                <w:szCs w:val="17"/>
              </w:rPr>
              <w:t xml:space="preserve">(required)</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Grouping column.</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value</w:t>
            </w:r>
          </w:p>
        </w:tc>
        <w:tc>
          <w:tcPr>
            <w:tcW w:type="dxa" w:w="2200"/>
            <w:tcMar>
              <w:top w:type="dxa" w:w="60"/>
              <w:left w:type="dxa" w:w="100"/>
              <w:bottom w:type="dxa" w:w="60"/>
              <w:right w:type="dxa" w:w="100"/>
            </w:tcMar>
          </w:tcPr>
          <w:p>
            <w:pPr>
              <w:spacing w:after="120" w:before="0" w:line="276"/>
            </w:pPr>
            <w:r>
              <w:rPr>
                <w:rFonts w:ascii="Calibri" w:cs="Calibri" w:eastAsia="Calibri" w:hAnsi="Calibri"/>
                <w:i/>
                <w:iCs/>
                <w:color w:val="BA0C2F"/>
                <w:sz w:val="17"/>
                <w:szCs w:val="17"/>
              </w:rPr>
              <w:t xml:space="preserve">(required)</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Name of the numeric column, as a string.</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points</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TRUE</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Overlay individual observations.</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accent</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NULL</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Override the accent colour.</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semester</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"Fall"</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Semester name; selects the accent colour.</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year</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as.integer(format(Sys.Date(), "%Y"))</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Calendar year.</w:t>
            </w:r>
          </w:p>
        </w:tc>
      </w:tr>
    </w:tbl>
    <w:p>
      <w:pPr>
        <w:pStyle w:val="Heading2"/>
        <w:spacing w:after="60" w:before="280"/>
      </w:pPr>
      <w:r>
        <w:rPr>
          <w:rFonts w:ascii="Consolas" w:cs="Consolas" w:eastAsia="Consolas" w:hAnsi="Consolas"/>
          <w:b/>
          <w:bCs/>
          <w:color w:val="1A1A1A"/>
          <w:sz w:val="26"/>
          <w:szCs w:val="26"/>
        </w:rPr>
        <w:t xml:space="preserve">chart.scatter</w:t>
      </w:r>
    </w:p>
    <w:p>
      <w:pPr>
        <w:spacing w:after="120" w:before="0" w:line="276"/>
      </w:pPr>
      <w:r>
        <w:rPr>
          <w:rFonts w:ascii="Calibri" w:cs="Calibri" w:eastAsia="Calibri" w:hAnsi="Calibri"/>
          <w:b/>
          <w:bCs/>
          <w:color w:val="5A5A5A"/>
          <w:sz w:val="21"/>
          <w:szCs w:val="21"/>
        </w:rPr>
        <w:t xml:space="preserve">Two-metric scatter</w:t>
      </w:r>
    </w:p>
    <w:p>
      <w:pPr>
        <w:spacing w:after="120" w:before="0" w:line="276"/>
      </w:pPr>
      <w:r>
        <w:rPr>
          <w:rFonts w:ascii="Calibri" w:cs="Calibri" w:eastAsia="Calibri" w:hAnsi="Calibri"/>
          <w:color w:val="1A1A1A"/>
          <w:sz w:val="21"/>
          <w:szCs w:val="21"/>
        </w:rPr>
        <w:t xml:space="preserve">Two-metric relationship.</w:t>
      </w:r>
    </w:p>
    <w:p>
      <w:pPr>
        <w:pBdr>
          <w:left w:val="single" w:color="BA0C2F" w:sz="12" w:space="6"/>
        </w:pBdr>
        <w:shd w:fill="F5F5F3" w:val="clear"/>
        <w:spacing w:after="100" w:before="60"/>
        <w:ind w:left="180"/>
      </w:pPr>
      <w:r>
        <w:rPr>
          <w:rFonts w:ascii="Consolas" w:cs="Consolas" w:eastAsia="Consolas" w:hAnsi="Consolas"/>
          <w:color w:val="1A1A1A"/>
          <w:sz w:val="18"/>
          <w:szCs w:val="18"/>
        </w:rPr>
        <w:t xml:space="preserve">chart.scatter(
    data,
    x,
    y,
    label = NULL,
    size = NULL,
    accent = NULL,
    semester = "Fall",
    year = as.integer(format(Sys.Date(), "%Y"))
)</w:t>
      </w:r>
    </w:p>
    <w:tbl>
      <w:tblPr>
        <w:tblW w:type="dxa" w:w="9000"/>
        <w:tblBorders>
          <w:top w:val="single" w:color="D8D8D8" w:sz="6"/>
          <w:left w:val="none" w:color="FFFFFF" w:sz="0"/>
          <w:bottom w:val="single" w:color="D8D8D8" w:sz="6"/>
          <w:right w:val="none" w:color="FFFFFF" w:sz="0"/>
          <w:insideH w:val="single" w:color="D8D8D8" w:sz="4"/>
          <w:insideV w:val="none" w:color="FFFFFF" w:sz="0"/>
        </w:tblBorders>
      </w:tblPr>
      <w:tblGrid>
        <w:gridCol w:w="1500"/>
        <w:gridCol w:w="2200"/>
        <w:gridCol w:w="5300"/>
      </w:tblGrid>
      <w:tr>
        <w:trPr>
          <w:tblHeader/>
        </w:trPr>
        <w:tc>
          <w:tcPr>
            <w:tcW w:type="dxa" w:w="15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Argument</w:t>
            </w:r>
          </w:p>
        </w:tc>
        <w:tc>
          <w:tcPr>
            <w:tcW w:type="dxa" w:w="22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Default</w:t>
            </w:r>
          </w:p>
        </w:tc>
        <w:tc>
          <w:tcPr>
            <w:tcW w:type="dxa" w:w="53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What it controls</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data</w:t>
            </w:r>
          </w:p>
        </w:tc>
        <w:tc>
          <w:tcPr>
            <w:tcW w:type="dxa" w:w="2200"/>
            <w:tcMar>
              <w:top w:type="dxa" w:w="60"/>
              <w:left w:type="dxa" w:w="100"/>
              <w:bottom w:type="dxa" w:w="60"/>
              <w:right w:type="dxa" w:w="100"/>
            </w:tcMar>
          </w:tcPr>
          <w:p>
            <w:pPr>
              <w:spacing w:after="120" w:before="0" w:line="276"/>
            </w:pPr>
            <w:r>
              <w:rPr>
                <w:rFonts w:ascii="Calibri" w:cs="Calibri" w:eastAsia="Calibri" w:hAnsi="Calibri"/>
                <w:i/>
                <w:iCs/>
                <w:color w:val="BA0C2F"/>
                <w:sz w:val="17"/>
                <w:szCs w:val="17"/>
              </w:rPr>
              <w:t xml:space="preserve">(required)</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A data frame, normally the output of the gather or analysis step named in the description.</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x</w:t>
            </w:r>
          </w:p>
        </w:tc>
        <w:tc>
          <w:tcPr>
            <w:tcW w:type="dxa" w:w="2200"/>
            <w:tcMar>
              <w:top w:type="dxa" w:w="60"/>
              <w:left w:type="dxa" w:w="100"/>
              <w:bottom w:type="dxa" w:w="60"/>
              <w:right w:type="dxa" w:w="100"/>
            </w:tcMar>
          </w:tcPr>
          <w:p>
            <w:pPr>
              <w:spacing w:after="120" w:before="0" w:line="276"/>
            </w:pPr>
            <w:r>
              <w:rPr>
                <w:rFonts w:ascii="Calibri" w:cs="Calibri" w:eastAsia="Calibri" w:hAnsi="Calibri"/>
                <w:i/>
                <w:iCs/>
                <w:color w:val="BA0C2F"/>
                <w:sz w:val="17"/>
                <w:szCs w:val="17"/>
              </w:rPr>
              <w:t xml:space="preserve">(required)</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Column mapped to the horizontal axis.</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y</w:t>
            </w:r>
          </w:p>
        </w:tc>
        <w:tc>
          <w:tcPr>
            <w:tcW w:type="dxa" w:w="2200"/>
            <w:tcMar>
              <w:top w:type="dxa" w:w="60"/>
              <w:left w:type="dxa" w:w="100"/>
              <w:bottom w:type="dxa" w:w="60"/>
              <w:right w:type="dxa" w:w="100"/>
            </w:tcMar>
          </w:tcPr>
          <w:p>
            <w:pPr>
              <w:spacing w:after="120" w:before="0" w:line="276"/>
            </w:pPr>
            <w:r>
              <w:rPr>
                <w:rFonts w:ascii="Calibri" w:cs="Calibri" w:eastAsia="Calibri" w:hAnsi="Calibri"/>
                <w:i/>
                <w:iCs/>
                <w:color w:val="BA0C2F"/>
                <w:sz w:val="17"/>
                <w:szCs w:val="17"/>
              </w:rPr>
              <w:t xml:space="preserve">(required)</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Column mapped to the vertical axis.</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label</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NULL</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Column supplying the text label.</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size</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NULL</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Column scaling point area.</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accent</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NULL</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Override the accent colour.</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semester</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"Fall"</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Semester name; selects the accent colour.</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year</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as.integer(format(Sys.Date(), "%Y"))</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Calendar year.</w:t>
            </w:r>
          </w:p>
        </w:tc>
      </w:tr>
    </w:tbl>
    <w:p>
      <w:pPr>
        <w:pStyle w:val="Heading2"/>
        <w:spacing w:after="60" w:before="280"/>
      </w:pPr>
      <w:r>
        <w:rPr>
          <w:rFonts w:ascii="Consolas" w:cs="Consolas" w:eastAsia="Consolas" w:hAnsi="Consolas"/>
          <w:b/>
          <w:bCs/>
          <w:color w:val="1A1A1A"/>
          <w:sz w:val="26"/>
          <w:szCs w:val="26"/>
        </w:rPr>
        <w:t xml:space="preserve">chart.dumbbell</w:t>
      </w:r>
    </w:p>
    <w:p>
      <w:pPr>
        <w:spacing w:after="120" w:before="0" w:line="276"/>
      </w:pPr>
      <w:r>
        <w:rPr>
          <w:rFonts w:ascii="Calibri" w:cs="Calibri" w:eastAsia="Calibri" w:hAnsi="Calibri"/>
          <w:b/>
          <w:bCs/>
          <w:color w:val="5A5A5A"/>
          <w:sz w:val="21"/>
          <w:szCs w:val="21"/>
        </w:rPr>
        <w:t xml:space="preserve">Change between two periods</w:t>
      </w:r>
    </w:p>
    <w:p>
      <w:pPr>
        <w:spacing w:after="120" w:before="0" w:line="276"/>
      </w:pPr>
      <w:r>
        <w:rPr>
          <w:rFonts w:ascii="Calibri" w:cs="Calibri" w:eastAsia="Calibri" w:hAnsi="Calibri"/>
          <w:color w:val="1A1A1A"/>
          <w:sz w:val="21"/>
          <w:szCs w:val="21"/>
        </w:rPr>
        <w:t xml:space="preserve">Change between two periods, one row per category.</w:t>
      </w:r>
    </w:p>
    <w:p>
      <w:pPr>
        <w:pBdr>
          <w:left w:val="single" w:color="BA0C2F" w:sz="12" w:space="6"/>
        </w:pBdr>
        <w:shd w:fill="F5F5F3" w:val="clear"/>
        <w:spacing w:after="100" w:before="60"/>
        <w:ind w:left="180"/>
      </w:pPr>
      <w:r>
        <w:rPr>
          <w:rFonts w:ascii="Consolas" w:cs="Consolas" w:eastAsia="Consolas" w:hAnsi="Consolas"/>
          <w:color w:val="1A1A1A"/>
          <w:sz w:val="18"/>
          <w:szCs w:val="18"/>
        </w:rPr>
        <w:t xml:space="preserve">chart.dumbbell(
    data,
    group,
    start,
    end,
    accent = NULL,
    semester = "Fall",
    year = as.integer(format(Sys.Date(), "%Y"))
)</w:t>
      </w:r>
    </w:p>
    <w:tbl>
      <w:tblPr>
        <w:tblW w:type="dxa" w:w="9000"/>
        <w:tblBorders>
          <w:top w:val="single" w:color="D8D8D8" w:sz="6"/>
          <w:left w:val="none" w:color="FFFFFF" w:sz="0"/>
          <w:bottom w:val="single" w:color="D8D8D8" w:sz="6"/>
          <w:right w:val="none" w:color="FFFFFF" w:sz="0"/>
          <w:insideH w:val="single" w:color="D8D8D8" w:sz="4"/>
          <w:insideV w:val="none" w:color="FFFFFF" w:sz="0"/>
        </w:tblBorders>
      </w:tblPr>
      <w:tblGrid>
        <w:gridCol w:w="1500"/>
        <w:gridCol w:w="2200"/>
        <w:gridCol w:w="5300"/>
      </w:tblGrid>
      <w:tr>
        <w:trPr>
          <w:tblHeader/>
        </w:trPr>
        <w:tc>
          <w:tcPr>
            <w:tcW w:type="dxa" w:w="15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Argument</w:t>
            </w:r>
          </w:p>
        </w:tc>
        <w:tc>
          <w:tcPr>
            <w:tcW w:type="dxa" w:w="22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Default</w:t>
            </w:r>
          </w:p>
        </w:tc>
        <w:tc>
          <w:tcPr>
            <w:tcW w:type="dxa" w:w="53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What it controls</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data</w:t>
            </w:r>
          </w:p>
        </w:tc>
        <w:tc>
          <w:tcPr>
            <w:tcW w:type="dxa" w:w="2200"/>
            <w:tcMar>
              <w:top w:type="dxa" w:w="60"/>
              <w:left w:type="dxa" w:w="100"/>
              <w:bottom w:type="dxa" w:w="60"/>
              <w:right w:type="dxa" w:w="100"/>
            </w:tcMar>
          </w:tcPr>
          <w:p>
            <w:pPr>
              <w:spacing w:after="120" w:before="0" w:line="276"/>
            </w:pPr>
            <w:r>
              <w:rPr>
                <w:rFonts w:ascii="Calibri" w:cs="Calibri" w:eastAsia="Calibri" w:hAnsi="Calibri"/>
                <w:i/>
                <w:iCs/>
                <w:color w:val="BA0C2F"/>
                <w:sz w:val="17"/>
                <w:szCs w:val="17"/>
              </w:rPr>
              <w:t xml:space="preserve">(required)</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A data frame, normally the output of the gather or analysis step named in the description.</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group</w:t>
            </w:r>
          </w:p>
        </w:tc>
        <w:tc>
          <w:tcPr>
            <w:tcW w:type="dxa" w:w="2200"/>
            <w:tcMar>
              <w:top w:type="dxa" w:w="60"/>
              <w:left w:type="dxa" w:w="100"/>
              <w:bottom w:type="dxa" w:w="60"/>
              <w:right w:type="dxa" w:w="100"/>
            </w:tcMar>
          </w:tcPr>
          <w:p>
            <w:pPr>
              <w:spacing w:after="120" w:before="0" w:line="276"/>
            </w:pPr>
            <w:r>
              <w:rPr>
                <w:rFonts w:ascii="Calibri" w:cs="Calibri" w:eastAsia="Calibri" w:hAnsi="Calibri"/>
                <w:i/>
                <w:iCs/>
                <w:color w:val="BA0C2F"/>
                <w:sz w:val="17"/>
                <w:szCs w:val="17"/>
              </w:rPr>
              <w:t xml:space="preserve">(required)</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Grouping column.</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start</w:t>
            </w:r>
          </w:p>
        </w:tc>
        <w:tc>
          <w:tcPr>
            <w:tcW w:type="dxa" w:w="2200"/>
            <w:tcMar>
              <w:top w:type="dxa" w:w="60"/>
              <w:left w:type="dxa" w:w="100"/>
              <w:bottom w:type="dxa" w:w="60"/>
              <w:right w:type="dxa" w:w="100"/>
            </w:tcMar>
          </w:tcPr>
          <w:p>
            <w:pPr>
              <w:spacing w:after="120" w:before="0" w:line="276"/>
            </w:pPr>
            <w:r>
              <w:rPr>
                <w:rFonts w:ascii="Calibri" w:cs="Calibri" w:eastAsia="Calibri" w:hAnsi="Calibri"/>
                <w:i/>
                <w:iCs/>
                <w:color w:val="BA0C2F"/>
                <w:sz w:val="17"/>
                <w:szCs w:val="17"/>
              </w:rPr>
              <w:t xml:space="preserve">(required)</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Period lower bound in the route's own format.</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end</w:t>
            </w:r>
          </w:p>
        </w:tc>
        <w:tc>
          <w:tcPr>
            <w:tcW w:type="dxa" w:w="2200"/>
            <w:tcMar>
              <w:top w:type="dxa" w:w="60"/>
              <w:left w:type="dxa" w:w="100"/>
              <w:bottom w:type="dxa" w:w="60"/>
              <w:right w:type="dxa" w:w="100"/>
            </w:tcMar>
          </w:tcPr>
          <w:p>
            <w:pPr>
              <w:spacing w:after="120" w:before="0" w:line="276"/>
            </w:pPr>
            <w:r>
              <w:rPr>
                <w:rFonts w:ascii="Calibri" w:cs="Calibri" w:eastAsia="Calibri" w:hAnsi="Calibri"/>
                <w:i/>
                <w:iCs/>
                <w:color w:val="BA0C2F"/>
                <w:sz w:val="17"/>
                <w:szCs w:val="17"/>
              </w:rPr>
              <w:t xml:space="preserve">(required)</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Period upper bound in the route's own format.</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accent</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NULL</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Override the accent colour.</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semester</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"Fall"</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Semester name; selects the accent colour.</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year</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as.integer(format(Sys.Date(), "%Y"))</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Calendar year.</w:t>
            </w:r>
          </w:p>
        </w:tc>
      </w:tr>
    </w:tbl>
    <w:p>
      <w:pPr>
        <w:pStyle w:val="Heading2"/>
        <w:spacing w:after="60" w:before="280"/>
      </w:pPr>
      <w:r>
        <w:rPr>
          <w:rFonts w:ascii="Consolas" w:cs="Consolas" w:eastAsia="Consolas" w:hAnsi="Consolas"/>
          <w:b/>
          <w:bCs/>
          <w:color w:val="1A1A1A"/>
          <w:sz w:val="26"/>
          <w:szCs w:val="26"/>
        </w:rPr>
        <w:t xml:space="preserve">chart.waterfall</w:t>
      </w:r>
    </w:p>
    <w:p>
      <w:pPr>
        <w:spacing w:after="120" w:before="0" w:line="276"/>
      </w:pPr>
      <w:r>
        <w:rPr>
          <w:rFonts w:ascii="Calibri" w:cs="Calibri" w:eastAsia="Calibri" w:hAnsi="Calibri"/>
          <w:b/>
          <w:bCs/>
          <w:color w:val="5A5A5A"/>
          <w:sz w:val="21"/>
          <w:szCs w:val="21"/>
        </w:rPr>
        <w:t xml:space="preserve">Additions and retirements bridge</w:t>
      </w:r>
    </w:p>
    <w:p>
      <w:pPr>
        <w:spacing w:after="120" w:before="0" w:line="276"/>
      </w:pPr>
      <w:r>
        <w:rPr>
          <w:rFonts w:ascii="Calibri" w:cs="Calibri" w:eastAsia="Calibri" w:hAnsi="Calibri"/>
          <w:color w:val="1A1A1A"/>
          <w:sz w:val="21"/>
          <w:szCs w:val="21"/>
        </w:rPr>
        <w:t xml:space="preserve">Additions and retirements as opposing bars around zero.</w:t>
      </w:r>
    </w:p>
    <w:p>
      <w:pPr>
        <w:pBdr>
          <w:left w:val="single" w:color="BA0C2F" w:sz="12" w:space="6"/>
        </w:pBdr>
        <w:shd w:fill="F5F5F3" w:val="clear"/>
        <w:spacing w:after="100" w:before="60"/>
        <w:ind w:left="180"/>
      </w:pPr>
      <w:r>
        <w:rPr>
          <w:rFonts w:ascii="Consolas" w:cs="Consolas" w:eastAsia="Consolas" w:hAnsi="Consolas"/>
          <w:color w:val="1A1A1A"/>
          <w:sz w:val="18"/>
          <w:szCs w:val="18"/>
        </w:rPr>
        <w:t xml:space="preserve">chart.waterfall(
    additions,
    retirements = NULL,
    highlight = NULL,
    accent = NULL,
    semester = "Fall",
    year = as.integer(format(Sys.Date(), "%Y"))
)</w:t>
      </w:r>
    </w:p>
    <w:tbl>
      <w:tblPr>
        <w:tblW w:type="dxa" w:w="9000"/>
        <w:tblBorders>
          <w:top w:val="single" w:color="D8D8D8" w:sz="6"/>
          <w:left w:val="none" w:color="FFFFFF" w:sz="0"/>
          <w:bottom w:val="single" w:color="D8D8D8" w:sz="6"/>
          <w:right w:val="none" w:color="FFFFFF" w:sz="0"/>
          <w:insideH w:val="single" w:color="D8D8D8" w:sz="4"/>
          <w:insideV w:val="none" w:color="FFFFFF" w:sz="0"/>
        </w:tblBorders>
      </w:tblPr>
      <w:tblGrid>
        <w:gridCol w:w="1500"/>
        <w:gridCol w:w="2200"/>
        <w:gridCol w:w="5300"/>
      </w:tblGrid>
      <w:tr>
        <w:trPr>
          <w:tblHeader/>
        </w:trPr>
        <w:tc>
          <w:tcPr>
            <w:tcW w:type="dxa" w:w="15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Argument</w:t>
            </w:r>
          </w:p>
        </w:tc>
        <w:tc>
          <w:tcPr>
            <w:tcW w:type="dxa" w:w="22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Default</w:t>
            </w:r>
          </w:p>
        </w:tc>
        <w:tc>
          <w:tcPr>
            <w:tcW w:type="dxa" w:w="53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What it controls</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additions</w:t>
            </w:r>
          </w:p>
        </w:tc>
        <w:tc>
          <w:tcPr>
            <w:tcW w:type="dxa" w:w="2200"/>
            <w:tcMar>
              <w:top w:type="dxa" w:w="60"/>
              <w:left w:type="dxa" w:w="100"/>
              <w:bottom w:type="dxa" w:w="60"/>
              <w:right w:type="dxa" w:w="100"/>
            </w:tcMar>
          </w:tcPr>
          <w:p>
            <w:pPr>
              <w:spacing w:after="120" w:before="0" w:line="276"/>
            </w:pPr>
            <w:r>
              <w:rPr>
                <w:rFonts w:ascii="Calibri" w:cs="Calibri" w:eastAsia="Calibri" w:hAnsi="Calibri"/>
                <w:i/>
                <w:iCs/>
                <w:color w:val="BA0C2F"/>
                <w:sz w:val="17"/>
                <w:szCs w:val="17"/>
              </w:rPr>
              <w:t xml:space="preserve">(required)</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See the package help page.</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retirements</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NULL</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See the package help page.</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highlight</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NULL</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Which series or resource to emphasise; everything else is greyed.</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accent</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NULL</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Override the accent colour.</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semester</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"Fall"</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Semester name; selects the accent colour.</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year</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as.integer(format(Sys.Date(), "%Y"))</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Calendar year.</w:t>
            </w:r>
          </w:p>
        </w:tc>
      </w:tr>
    </w:tbl>
    <w:p>
      <w:pPr>
        <w:pStyle w:val="Heading2"/>
        <w:spacing w:after="60" w:before="280"/>
      </w:pPr>
      <w:r>
        <w:rPr>
          <w:rFonts w:ascii="Consolas" w:cs="Consolas" w:eastAsia="Consolas" w:hAnsi="Consolas"/>
          <w:b/>
          <w:bCs/>
          <w:color w:val="1A1A1A"/>
          <w:sz w:val="26"/>
          <w:szCs w:val="26"/>
        </w:rPr>
        <w:t xml:space="preserve">chart.table</w:t>
      </w:r>
    </w:p>
    <w:p>
      <w:pPr>
        <w:spacing w:after="120" w:before="0" w:line="276"/>
      </w:pPr>
      <w:r>
        <w:rPr>
          <w:rFonts w:ascii="Calibri" w:cs="Calibri" w:eastAsia="Calibri" w:hAnsi="Calibri"/>
          <w:b/>
          <w:bCs/>
          <w:color w:val="5A5A5A"/>
          <w:sz w:val="21"/>
          <w:szCs w:val="21"/>
        </w:rPr>
        <w:t xml:space="preserve">Publication LaTeX table</w:t>
      </w:r>
    </w:p>
    <w:p>
      <w:pPr>
        <w:spacing w:after="120" w:before="0" w:line="276"/>
      </w:pPr>
      <w:r>
        <w:rPr>
          <w:rFonts w:ascii="Calibri" w:cs="Calibri" w:eastAsia="Calibri" w:hAnsi="Calibri"/>
          <w:color w:val="1A1A1A"/>
          <w:sz w:val="21"/>
          <w:szCs w:val="21"/>
        </w:rPr>
        <w:t xml:space="preserve">A booktabs LaTeX table styled to match the two-pagers.</w:t>
      </w:r>
    </w:p>
    <w:p>
      <w:pPr>
        <w:pBdr>
          <w:left w:val="single" w:color="BA0C2F" w:sz="12" w:space="6"/>
        </w:pBdr>
        <w:shd w:fill="F5F5F3" w:val="clear"/>
        <w:spacing w:after="100" w:before="60"/>
        <w:ind w:left="180"/>
      </w:pPr>
      <w:r>
        <w:rPr>
          <w:rFonts w:ascii="Consolas" w:cs="Consolas" w:eastAsia="Consolas" w:hAnsi="Consolas"/>
          <w:color w:val="1A1A1A"/>
          <w:sz w:val="18"/>
          <w:szCs w:val="18"/>
        </w:rPr>
        <w:t xml:space="preserve">chart.table(data, align = NULL, digits = 1, striped = TRUE, caption = NULL, file = NULL)</w:t>
      </w:r>
    </w:p>
    <w:tbl>
      <w:tblPr>
        <w:tblW w:type="dxa" w:w="9000"/>
        <w:tblBorders>
          <w:top w:val="single" w:color="D8D8D8" w:sz="6"/>
          <w:left w:val="none" w:color="FFFFFF" w:sz="0"/>
          <w:bottom w:val="single" w:color="D8D8D8" w:sz="6"/>
          <w:right w:val="none" w:color="FFFFFF" w:sz="0"/>
          <w:insideH w:val="single" w:color="D8D8D8" w:sz="4"/>
          <w:insideV w:val="none" w:color="FFFFFF" w:sz="0"/>
        </w:tblBorders>
      </w:tblPr>
      <w:tblGrid>
        <w:gridCol w:w="1500"/>
        <w:gridCol w:w="2200"/>
        <w:gridCol w:w="5300"/>
      </w:tblGrid>
      <w:tr>
        <w:trPr>
          <w:tblHeader/>
        </w:trPr>
        <w:tc>
          <w:tcPr>
            <w:tcW w:type="dxa" w:w="15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Argument</w:t>
            </w:r>
          </w:p>
        </w:tc>
        <w:tc>
          <w:tcPr>
            <w:tcW w:type="dxa" w:w="22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Default</w:t>
            </w:r>
          </w:p>
        </w:tc>
        <w:tc>
          <w:tcPr>
            <w:tcW w:type="dxa" w:w="5300"/>
            <w:shd w:fill="F2F0EC" w:val="clear"/>
            <w:tcMar>
              <w:top w:type="dxa" w:w="60"/>
              <w:left w:type="dxa" w:w="100"/>
              <w:bottom w:type="dxa" w:w="60"/>
              <w:right w:type="dxa" w:w="100"/>
            </w:tcMar>
          </w:tcPr>
          <w:p>
            <w:pPr>
              <w:spacing w:after="120" w:before="0" w:line="276"/>
            </w:pPr>
            <w:r>
              <w:rPr>
                <w:rFonts w:ascii="Calibri" w:cs="Calibri" w:eastAsia="Calibri" w:hAnsi="Calibri"/>
                <w:b/>
                <w:bCs/>
                <w:color w:val="1A1A1A"/>
                <w:sz w:val="18"/>
                <w:szCs w:val="18"/>
              </w:rPr>
              <w:t xml:space="preserve">What it controls</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data</w:t>
            </w:r>
          </w:p>
        </w:tc>
        <w:tc>
          <w:tcPr>
            <w:tcW w:type="dxa" w:w="2200"/>
            <w:tcMar>
              <w:top w:type="dxa" w:w="60"/>
              <w:left w:type="dxa" w:w="100"/>
              <w:bottom w:type="dxa" w:w="60"/>
              <w:right w:type="dxa" w:w="100"/>
            </w:tcMar>
          </w:tcPr>
          <w:p>
            <w:pPr>
              <w:spacing w:after="120" w:before="0" w:line="276"/>
            </w:pPr>
            <w:r>
              <w:rPr>
                <w:rFonts w:ascii="Calibri" w:cs="Calibri" w:eastAsia="Calibri" w:hAnsi="Calibri"/>
                <w:i/>
                <w:iCs/>
                <w:color w:val="BA0C2F"/>
                <w:sz w:val="17"/>
                <w:szCs w:val="17"/>
              </w:rPr>
              <w:t xml:space="preserve">(required)</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A data frame, normally the output of the gather or analysis step named in the description.</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align</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NULL</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Column alignment string.</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digits</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1</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Rounding applied to numeric columns.</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striped</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TRUE</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Shade alternate rows, as the briefs do.</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caption</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NULL</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Optional caption text.</w:t>
            </w:r>
          </w:p>
        </w:tc>
      </w:tr>
      <w:tr>
        <w:tc>
          <w:tcPr>
            <w:tcW w:type="dxa" w:w="1500"/>
            <w:tcMar>
              <w:top w:type="dxa" w:w="60"/>
              <w:left w:type="dxa" w:w="100"/>
              <w:bottom w:type="dxa" w:w="60"/>
              <w:right w:type="dxa" w:w="100"/>
            </w:tcMar>
          </w:tcPr>
          <w:p>
            <w:pPr>
              <w:spacing w:after="120" w:before="0" w:line="276"/>
            </w:pPr>
            <w:r>
              <w:rPr>
                <w:rFonts w:ascii="Consolas" w:cs="Consolas" w:eastAsia="Consolas" w:hAnsi="Consolas"/>
                <w:color w:val="1A1A1A"/>
                <w:sz w:val="17"/>
                <w:szCs w:val="17"/>
              </w:rPr>
              <w:t xml:space="preserve">file</w:t>
            </w:r>
          </w:p>
        </w:tc>
        <w:tc>
          <w:tcPr>
            <w:tcW w:type="dxa" w:w="2200"/>
            <w:tcMar>
              <w:top w:type="dxa" w:w="60"/>
              <w:left w:type="dxa" w:w="100"/>
              <w:bottom w:type="dxa" w:w="60"/>
              <w:right w:type="dxa" w:w="100"/>
            </w:tcMar>
          </w:tcPr>
          <w:p>
            <w:pPr>
              <w:spacing w:after="120" w:before="0" w:line="276"/>
            </w:pPr>
            <w:r>
              <w:rPr>
                <w:rFonts w:ascii="Consolas" w:cs="Consolas" w:eastAsia="Consolas" w:hAnsi="Consolas"/>
                <w:i w:val="false"/>
                <w:iCs w:val="false"/>
                <w:color w:val="5A5A5A"/>
                <w:sz w:val="17"/>
                <w:szCs w:val="17"/>
              </w:rPr>
              <w:t xml:space="preserve">NULL</w:t>
            </w:r>
          </w:p>
        </w:tc>
        <w:tc>
          <w:tcPr>
            <w:tcW w:type="dxa" w:w="5300"/>
            <w:tcMar>
              <w:top w:type="dxa" w:w="60"/>
              <w:left w:type="dxa" w:w="100"/>
              <w:bottom w:type="dxa" w:w="60"/>
              <w:right w:type="dxa" w:w="100"/>
            </w:tcMar>
          </w:tcPr>
          <w:p>
            <w:pPr>
              <w:spacing w:after="120" w:before="0" w:line="276"/>
            </w:pPr>
            <w:r>
              <w:rPr>
                <w:rFonts w:ascii="Calibri" w:cs="Calibri" w:eastAsia="Calibri" w:hAnsi="Calibri"/>
                <w:color w:val="1A1A1A"/>
                <w:sz w:val="17"/>
                <w:szCs w:val="17"/>
              </w:rPr>
              <w:t xml:space="preserve">Optional path to write to instead of returning.</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ESSP Command Reference</dc:title>
  <dc:creator>Energy Security Studies Program</dc:creator>
  <cp:lastModifiedBy>Un-named</cp:lastModifiedBy>
  <cp:revision>1</cp:revision>
  <dcterms:created xsi:type="dcterms:W3CDTF">2026-08-27T19:39:27.648Z</dcterms:created>
  <dcterms:modified xsi:type="dcterms:W3CDTF">2026-08-27T19:39:27.648Z</dcterms:modified>
</cp:coreProperties>
</file>

<file path=docProps/custom.xml><?xml version="1.0" encoding="utf-8"?>
<Properties xmlns="http://schemas.openxmlformats.org/officeDocument/2006/custom-properties" xmlns:vt="http://schemas.openxmlformats.org/officeDocument/2006/docPropsVTypes"/>
</file>