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Plan de Respaldo y Custoria de Claves Criptográficas en HSM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Tabla de contenidos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40_723974624">
            <w:r>
              <w:rPr>
                <w:rStyle w:val="IndexLink"/>
              </w:rPr>
              <w:t>Objetivo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2_723974624">
            <w:r>
              <w:rPr>
                <w:rStyle w:val="IndexLink"/>
              </w:rPr>
              <w:t>Alcance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82_2178634724">
            <w:r>
              <w:rPr>
                <w:rStyle w:val="IndexLink"/>
              </w:rPr>
              <w:t>Generación de claves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4_723974624">
            <w:r>
              <w:rPr>
                <w:rStyle w:val="IndexLink"/>
              </w:rPr>
              <w:t>Respaldo de claves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6_723974624">
            <w:r>
              <w:rPr>
                <w:rStyle w:val="IndexLink"/>
              </w:rPr>
              <w:t>Custodia física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8_723974624">
            <w:r>
              <w:rPr>
                <w:rStyle w:val="IndexLink"/>
              </w:rPr>
              <w:t>Custodia lógica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50_723974624">
            <w:r>
              <w:rPr>
                <w:rStyle w:val="IndexLink"/>
              </w:rPr>
              <w:t>Pruebas de recuperación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52_723974624">
            <w:r>
              <w:rPr>
                <w:rStyle w:val="IndexLink"/>
              </w:rPr>
              <w:t>Registro de custodios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54_723974624">
            <w:r>
              <w:rPr>
                <w:rStyle w:val="IndexLink"/>
              </w:rPr>
              <w:t>Revisión y actualización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0" w:name="__RefHeading___Toc140_723974624"/>
      <w:bookmarkEnd w:id="0"/>
      <w:r>
        <w:rPr/>
        <w:t>Objetivo</w:t>
      </w:r>
    </w:p>
    <w:p>
      <w:pPr>
        <w:pStyle w:val="Normal"/>
        <w:bidi w:val="0"/>
        <w:jc w:val="both"/>
        <w:rPr/>
      </w:pPr>
      <w:r>
        <w:rPr/>
        <w:t>Establecer los controles y procedimientos para garantizar el respaldo seguro y la custodia adecuada de las claves criptográficas generadas y almacenadas en el HSM, de conformidad con los requisitos de la norma ISO/IEC 27001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1" w:name="__RefHeading___Toc142_723974624"/>
      <w:bookmarkEnd w:id="1"/>
      <w:r>
        <w:rPr/>
        <w:t>Alcance</w:t>
      </w:r>
    </w:p>
    <w:p>
      <w:pPr>
        <w:pStyle w:val="Normal"/>
        <w:bidi w:val="0"/>
        <w:jc w:val="both"/>
        <w:rPr/>
      </w:pPr>
      <w:r>
        <w:rPr/>
        <w:t>Aplica a todos los sistemas que utilizan el HSM de la organización para el cifrado de información crítica, incluyendo servidores de correo seguro, VPN, firma digital y almacenamiento cifrado.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2" w:name="__RefHeading___Toc282_2178634724"/>
      <w:bookmarkEnd w:id="2"/>
      <w:r>
        <w:rPr/>
        <w:t>Generación de claves</w:t>
      </w:r>
    </w:p>
    <w:p>
      <w:pPr>
        <w:pStyle w:val="Normal"/>
        <w:bidi w:val="0"/>
        <w:ind w:hanging="0" w:start="0"/>
        <w:jc w:val="start"/>
        <w:rPr/>
      </w:pPr>
      <w:r>
        <w:rPr/>
        <w:t>Las claves maestras y subordinadas se generan dentro del HSM. El proceso de generación está registrado y requiere la presencia de al menos 2 custodios autorizados (principio de doble control).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3" w:name="__RefHeading___Toc144_723974624"/>
      <w:bookmarkEnd w:id="3"/>
      <w:r>
        <w:rPr/>
        <w:t>Respaldo de claves</w:t>
      </w:r>
    </w:p>
    <w:p>
      <w:pPr>
        <w:pStyle w:val="Normal"/>
        <w:bidi w:val="0"/>
        <w:jc w:val="both"/>
        <w:rPr/>
      </w:pPr>
      <w:r>
        <w:rPr/>
        <w:t>El respaldo de las claves maestras se realiza mediante un "key export" seguro hacia un token criptográfico (por ejemplo, smart card o dispositivo USB HSM). El respaldo está cifrado con una clave de envoltura (key wrapping key), almacenada solo en el HSM.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4" w:name="__RefHeading___Toc146_723974624"/>
      <w:bookmarkEnd w:id="4"/>
      <w:r>
        <w:rPr/>
        <w:t>Custodia física</w:t>
      </w:r>
    </w:p>
    <w:p>
      <w:pPr>
        <w:pStyle w:val="Normal"/>
        <w:bidi w:val="0"/>
        <w:jc w:val="both"/>
        <w:rPr/>
      </w:pPr>
      <w:r>
        <w:rPr/>
        <w:t>Los tokens de respaldo son almacenados en cajas fuertes con control de acceso biométrico en áreas restringidas. El acceso físico a las cajas fuertes requiere al menos 2 custodios diferentes (acceso dual). Se registra cada evento de acceso a los tokens.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5" w:name="__RefHeading___Toc148_723974624"/>
      <w:bookmarkEnd w:id="5"/>
      <w:r>
        <w:rPr/>
        <w:t>Custodia lógica</w:t>
      </w:r>
    </w:p>
    <w:p>
      <w:pPr>
        <w:pStyle w:val="Normal"/>
        <w:bidi w:val="0"/>
        <w:jc w:val="both"/>
        <w:rPr/>
      </w:pPr>
      <w:r>
        <w:rPr/>
        <w:t>Solo los usuarios con rol de "HSM Admin" pueden gestionar claves dentro del sistema. Las claves respaldadas están etiquetadas y versionadas; no se sobrescriben.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6" w:name="__RefHeading___Toc150_723974624"/>
      <w:bookmarkEnd w:id="6"/>
      <w:r>
        <w:rPr/>
        <w:t>Pruebas de recuperación</w:t>
      </w:r>
    </w:p>
    <w:p>
      <w:pPr>
        <w:pStyle w:val="Normal"/>
        <w:bidi w:val="0"/>
        <w:jc w:val="both"/>
        <w:rPr/>
      </w:pPr>
      <w:r>
        <w:rPr/>
        <w:t>Se realiza un test de restauración semestral para verificar la validez de los respaldos de claves. Se documenta el resultado de la prueba en el registro de auditoría.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7" w:name="__RefHeading___Toc152_723974624"/>
      <w:bookmarkEnd w:id="7"/>
      <w:r>
        <w:rPr/>
        <w:t>Registro de custodios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99"/>
        <w:gridCol w:w="1421"/>
        <w:gridCol w:w="2160"/>
        <w:gridCol w:w="2159"/>
      </w:tblGrid>
      <w:tr>
        <w:trPr/>
        <w:tc>
          <w:tcPr>
            <w:tcW w:w="28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4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216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Fecha de Asignación</w:t>
            </w:r>
          </w:p>
        </w:tc>
        <w:tc>
          <w:tcPr>
            <w:tcW w:w="21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</w:tr>
      <w:tr>
        <w:trPr/>
        <w:tc>
          <w:tcPr>
            <w:tcW w:w="28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" w:hAnsi="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2"/>
              </w:rPr>
              <w:t>Empleado_ID_25096 (Director TI)</w:t>
            </w:r>
          </w:p>
        </w:tc>
        <w:tc>
          <w:tcPr>
            <w:tcW w:w="14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Custodio 1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30/06/2025</w:t>
            </w:r>
          </w:p>
        </w:tc>
        <w:tc>
          <w:tcPr>
            <w:tcW w:w="215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" w:hAnsi="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2"/>
              </w:rPr>
              <w:t>EMPA00096</w:t>
            </w:r>
          </w:p>
        </w:tc>
      </w:tr>
      <w:tr>
        <w:trPr/>
        <w:tc>
          <w:tcPr>
            <w:tcW w:w="289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" w:hAnsi="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2"/>
              </w:rPr>
              <w:t>Empleado_ID_25050 (Técnico Consultoría)</w:t>
            </w:r>
          </w:p>
        </w:tc>
        <w:tc>
          <w:tcPr>
            <w:tcW w:w="14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Custodio 2</w:t>
            </w:r>
          </w:p>
        </w:tc>
        <w:tc>
          <w:tcPr>
            <w:tcW w:w="216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30/06/2025</w:t>
            </w:r>
          </w:p>
        </w:tc>
        <w:tc>
          <w:tcPr>
            <w:tcW w:w="215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Arial" w:hAnsi="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2"/>
              </w:rPr>
              <w:t>EMPA00050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bookmarkStart w:id="8" w:name="__RefHeading___Toc154_723974624"/>
      <w:bookmarkEnd w:id="8"/>
      <w:r>
        <w:rPr/>
        <w:t>Revisión y actualización</w:t>
      </w:r>
    </w:p>
    <w:p>
      <w:pPr>
        <w:pStyle w:val="Normal"/>
        <w:bidi w:val="0"/>
        <w:jc w:val="both"/>
        <w:rPr/>
      </w:pPr>
      <w:r>
        <w:rPr/>
        <w:t xml:space="preserve">Este plan se revisa al menos una vez al año o tras cualquier cambio en la infraestructura HSM, en la política criptográfica de la organización o en la disponibilidad de los custodios.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344</Words>
  <Characters>1884</Characters>
  <CharactersWithSpaces>2189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2025-07-02T11:24:03Z</dcterms:created>
  <dc:creator/>
  <dc:description/>
  <dc:language>es-ES</dc:language>
  <cp:lastModifiedBy/>
  <dcterms:modified xsi:type="dcterms:W3CDTF">2025-07-02T13:25:49Z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