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styles.xml" ContentType="application/vnd.openxmlformats-officedocument.wordprocessingml.styles+xml"/>
  <Override PartName="/word/_rels/document.xml.rels" ContentType="application/vnd.openxmlformats-package.relationships+xml"/>
  <Override PartName="/word/media/image1.png" ContentType="image/png"/>
  <Override PartName="/word/media/image2.png" ContentType="image/png"/>
  <Override PartName="/word/media/image3.png" ContentType="image/png"/>
  <Override PartName="/word/header2.xml" ContentType="application/vnd.openxmlformats-officedocument.wordprocessingml.header+xml"/>
  <Override PartName="/word/header1.xml" ContentType="application/vnd.openxmlformats-officedocument.wordprocessingml.header+xml"/>
  <Override PartName="/word/document.xml" ContentType="application/vnd.openxmlformats-officedocument.wordprocessingml.document.main+xml"/>
  <Override PartName="/word/theme/theme1.xml" ContentType="application/vnd.openxmlformats-officedocument.theme+xml"/>
  <Override PartName="/word/header3.xml" ContentType="application/vnd.openxmlformats-officedocument.wordprocessingml.header+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auto" w:line="480" w:before="0" w:after="200"/>
        <w:rPr/>
      </w:pPr>
      <w:r>
        <w:rPr/>
      </w:r>
    </w:p>
    <w:p>
      <w:pPr>
        <w:pStyle w:val="Normal"/>
        <w:spacing w:lineRule="auto" w:line="480" w:before="0" w:after="200"/>
        <w:rPr/>
      </w:pPr>
      <w:r>
        <w:rPr/>
      </w:r>
    </w:p>
    <w:p>
      <w:pPr>
        <w:pStyle w:val="Normal"/>
        <w:spacing w:lineRule="auto" w:line="480" w:before="0" w:after="200"/>
        <w:rPr/>
      </w:pPr>
      <w:r>
        <w:rPr/>
      </w:r>
    </w:p>
    <w:p>
      <w:pPr>
        <w:pStyle w:val="Normal"/>
        <w:spacing w:lineRule="auto" w:line="480" w:before="0" w:after="200"/>
        <w:rPr/>
      </w:pPr>
      <w:r>
        <w:rPr/>
      </w:r>
    </w:p>
    <w:p>
      <w:pPr>
        <w:pStyle w:val="Normal"/>
        <w:spacing w:lineRule="auto" w:line="480" w:before="0" w:after="200"/>
        <w:jc w:val="center"/>
        <w:rPr/>
      </w:pPr>
      <w:r>
        <w:rPr>
          <w:rFonts w:eastAsia="Times New Roman" w:cs="Times New Roman"/>
          <w:b/>
          <w:bCs/>
          <w:sz w:val="24"/>
          <w:szCs w:val="24"/>
        </w:rPr>
        <w:t>Who Does My Child Believe: Me or AI?</w:t>
      </w:r>
    </w:p>
    <w:p>
      <w:pPr>
        <w:pStyle w:val="Normal"/>
        <w:spacing w:lineRule="auto" w:line="480" w:before="0" w:after="200"/>
        <w:jc w:val="center"/>
        <w:rPr/>
      </w:pPr>
      <w:r>
        <w:rPr>
          <w:rFonts w:eastAsia="Times New Roman" w:cs="Times New Roman"/>
          <w:sz w:val="24"/>
          <w:szCs w:val="24"/>
        </w:rPr>
        <w:t xml:space="preserve">A </w:t>
      </w:r>
      <w:r>
        <w:rPr>
          <w:rFonts w:eastAsia="Times New Roman" w:cs="Times New Roman"/>
          <w:sz w:val="24"/>
          <w:szCs w:val="24"/>
        </w:rPr>
        <w:t>h</w:t>
      </w:r>
      <w:r>
        <w:rPr>
          <w:rFonts w:eastAsia="Times New Roman" w:cs="Times New Roman"/>
          <w:sz w:val="24"/>
          <w:szCs w:val="24"/>
        </w:rPr>
        <w:t>ome-</w:t>
      </w:r>
      <w:r>
        <w:rPr>
          <w:rFonts w:eastAsia="Times New Roman" w:cs="Times New Roman"/>
          <w:sz w:val="24"/>
          <w:szCs w:val="24"/>
        </w:rPr>
        <w:t>b</w:t>
      </w:r>
      <w:r>
        <w:rPr>
          <w:rFonts w:eastAsia="Times New Roman" w:cs="Times New Roman"/>
          <w:sz w:val="24"/>
          <w:szCs w:val="24"/>
        </w:rPr>
        <w:t xml:space="preserve">ased </w:t>
      </w:r>
      <w:r>
        <w:rPr>
          <w:rFonts w:eastAsia="Times New Roman" w:cs="Times New Roman"/>
          <w:sz w:val="24"/>
          <w:szCs w:val="24"/>
        </w:rPr>
        <w:t>e</w:t>
      </w:r>
      <w:r>
        <w:rPr>
          <w:rFonts w:eastAsia="Times New Roman" w:cs="Times New Roman"/>
          <w:sz w:val="24"/>
          <w:szCs w:val="24"/>
        </w:rPr>
        <w:t>vent-</w:t>
      </w:r>
      <w:r>
        <w:rPr>
          <w:rFonts w:eastAsia="Times New Roman" w:cs="Times New Roman"/>
          <w:sz w:val="24"/>
          <w:szCs w:val="24"/>
        </w:rPr>
        <w:t>b</w:t>
      </w:r>
      <w:r>
        <w:rPr>
          <w:rFonts w:eastAsia="Times New Roman" w:cs="Times New Roman"/>
          <w:sz w:val="24"/>
          <w:szCs w:val="24"/>
        </w:rPr>
        <w:t xml:space="preserve">oundary </w:t>
      </w:r>
      <w:r>
        <w:rPr>
          <w:rFonts w:eastAsia="Times New Roman" w:cs="Times New Roman"/>
          <w:sz w:val="24"/>
          <w:szCs w:val="24"/>
        </w:rPr>
        <w:t>p</w:t>
      </w:r>
      <w:r>
        <w:rPr>
          <w:rFonts w:eastAsia="Times New Roman" w:cs="Times New Roman"/>
          <w:sz w:val="24"/>
          <w:szCs w:val="24"/>
        </w:rPr>
        <w:t xml:space="preserve">aradigm for </w:t>
      </w:r>
      <w:r>
        <w:rPr>
          <w:rFonts w:eastAsia="Times New Roman" w:cs="Times New Roman"/>
          <w:sz w:val="24"/>
          <w:szCs w:val="24"/>
        </w:rPr>
        <w:t>e</w:t>
      </w:r>
      <w:r>
        <w:rPr>
          <w:rFonts w:eastAsia="Times New Roman" w:cs="Times New Roman"/>
          <w:sz w:val="24"/>
          <w:szCs w:val="24"/>
        </w:rPr>
        <w:t xml:space="preserve">pistemic </w:t>
      </w:r>
      <w:r>
        <w:rPr>
          <w:rFonts w:eastAsia="Times New Roman" w:cs="Times New Roman"/>
          <w:sz w:val="24"/>
          <w:szCs w:val="24"/>
        </w:rPr>
        <w:t>d</w:t>
      </w:r>
      <w:r>
        <w:rPr>
          <w:rFonts w:eastAsia="Times New Roman" w:cs="Times New Roman"/>
          <w:sz w:val="24"/>
          <w:szCs w:val="24"/>
        </w:rPr>
        <w:t>eference</w:t>
      </w:r>
      <w:r>
        <w:rPr>
          <w:rFonts w:eastAsia="Times New Roman" w:cs="Times New Roman"/>
          <w:sz w:val="24"/>
          <w:szCs w:val="24"/>
        </w:rPr>
        <w:t xml:space="preserve"> </w:t>
      </w:r>
      <w:r>
        <w:rPr>
          <w:rFonts w:eastAsia="Times New Roman" w:cs="Times New Roman"/>
          <w:sz w:val="24"/>
          <w:szCs w:val="24"/>
        </w:rPr>
        <w:t>(</w:t>
      </w:r>
      <w:r>
        <w:rPr>
          <w:rFonts w:eastAsia="Times New Roman" w:cs="Times New Roman"/>
          <w:sz w:val="24"/>
          <w:szCs w:val="24"/>
        </w:rPr>
        <w:t>trust</w:t>
      </w:r>
      <w:r>
        <w:rPr>
          <w:rFonts w:eastAsia="Times New Roman" w:cs="Times New Roman"/>
          <w:sz w:val="24"/>
          <w:szCs w:val="24"/>
        </w:rPr>
        <w:t>)</w:t>
      </w:r>
      <w:r>
        <w:rPr>
          <w:rFonts w:eastAsia="Times New Roman" w:cs="Times New Roman"/>
          <w:sz w:val="24"/>
          <w:szCs w:val="24"/>
        </w:rPr>
        <w:t xml:space="preserve"> in </w:t>
      </w:r>
      <w:r>
        <w:rPr>
          <w:rFonts w:eastAsia="Times New Roman" w:cs="Times New Roman"/>
          <w:sz w:val="24"/>
          <w:szCs w:val="24"/>
        </w:rPr>
        <w:t>e</w:t>
      </w:r>
      <w:r>
        <w:rPr>
          <w:rFonts w:eastAsia="Times New Roman" w:cs="Times New Roman"/>
          <w:sz w:val="24"/>
          <w:szCs w:val="24"/>
        </w:rPr>
        <w:t xml:space="preserve">arly </w:t>
      </w:r>
      <w:r>
        <w:rPr>
          <w:rFonts w:eastAsia="Times New Roman" w:cs="Times New Roman"/>
          <w:sz w:val="24"/>
          <w:szCs w:val="24"/>
        </w:rPr>
        <w:t>c</w:t>
      </w:r>
      <w:r>
        <w:rPr>
          <w:rFonts w:eastAsia="Times New Roman" w:cs="Times New Roman"/>
          <w:sz w:val="24"/>
          <w:szCs w:val="24"/>
        </w:rPr>
        <w:t>hildhood</w:t>
      </w:r>
    </w:p>
    <w:p>
      <w:pPr>
        <w:pStyle w:val="Normal"/>
        <w:spacing w:lineRule="auto" w:line="480" w:before="0" w:after="200"/>
        <w:rPr/>
      </w:pPr>
      <w:r>
        <w:rPr/>
      </w:r>
    </w:p>
    <w:p>
      <w:pPr>
        <w:pStyle w:val="Normal"/>
        <w:spacing w:lineRule="auto" w:line="480" w:before="0" w:after="0"/>
        <w:jc w:val="center"/>
        <w:rPr/>
      </w:pPr>
      <w:r>
        <w:rPr>
          <w:rFonts w:eastAsia="Times New Roman" w:cs="Times New Roman"/>
          <w:sz w:val="24"/>
          <w:szCs w:val="24"/>
        </w:rPr>
        <w:t>Anibal M. Astobiza</w:t>
      </w:r>
    </w:p>
    <w:p>
      <w:pPr>
        <w:pStyle w:val="Normal"/>
        <w:spacing w:lineRule="auto" w:line="480" w:before="0" w:after="200"/>
        <w:jc w:val="center"/>
        <w:rPr/>
      </w:pPr>
      <w:r>
        <w:rPr>
          <w:rFonts w:eastAsia="Times New Roman" w:cs="Times New Roman"/>
          <w:sz w:val="24"/>
          <w:szCs w:val="24"/>
        </w:rPr>
        <w:t>Department of Philosophy I, University of Granada</w:t>
      </w:r>
    </w:p>
    <w:p>
      <w:pPr>
        <w:pStyle w:val="Normal"/>
        <w:spacing w:lineRule="auto" w:line="480" w:before="0" w:after="200"/>
        <w:rPr/>
      </w:pPr>
      <w:r>
        <w:rPr/>
      </w:r>
    </w:p>
    <w:p>
      <w:pPr>
        <w:pStyle w:val="Normal"/>
        <w:spacing w:lineRule="auto" w:line="480" w:before="0" w:after="200"/>
        <w:rPr/>
      </w:pPr>
      <w:r>
        <w:rPr/>
      </w:r>
    </w:p>
    <w:p>
      <w:pPr>
        <w:pStyle w:val="Normal"/>
        <w:spacing w:lineRule="auto" w:line="480" w:before="0" w:after="200"/>
        <w:jc w:val="center"/>
        <w:rPr/>
      </w:pPr>
      <w:r>
        <w:rPr>
          <w:rFonts w:eastAsia="Times New Roman" w:cs="Times New Roman"/>
          <w:b/>
          <w:bCs/>
          <w:sz w:val="24"/>
          <w:szCs w:val="24"/>
        </w:rPr>
        <w:t>Author Note</w:t>
      </w:r>
    </w:p>
    <w:p>
      <w:pPr>
        <w:pStyle w:val="Normal"/>
        <w:spacing w:lineRule="auto" w:line="480" w:before="0" w:after="200"/>
        <w:jc w:val="left"/>
        <w:rPr/>
      </w:pPr>
      <w:r>
        <w:rPr>
          <w:rFonts w:eastAsia="Times New Roman" w:cs="Times New Roman"/>
          <w:sz w:val="24"/>
          <w:szCs w:val="24"/>
        </w:rPr>
        <w:t xml:space="preserve">Anibal M. Astobiza </w:t>
      </w:r>
      <w:r>
        <w:rPr>
          <w:rFonts w:eastAsia="Times New Roman" w:cs="Times New Roman"/>
          <w:color w:val="0000FF"/>
          <w:sz w:val="24"/>
          <w:szCs w:val="24"/>
        </w:rPr>
        <w:t>https://orcid.org/0000-0003-1399-5388</w:t>
      </w:r>
      <w:r>
        <w:rPr>
          <w:rFonts w:eastAsia="Times New Roman" w:cs="Times New Roman"/>
          <w:sz w:val="24"/>
          <w:szCs w:val="24"/>
        </w:rPr>
        <w:t>, Department of Philosophy I, University of Granada.</w:t>
      </w:r>
    </w:p>
    <w:p>
      <w:pPr>
        <w:pStyle w:val="Normal"/>
        <w:spacing w:lineRule="auto" w:line="480" w:before="0" w:after="200"/>
        <w:jc w:val="left"/>
        <w:rPr/>
      </w:pPr>
      <w:r>
        <w:rPr>
          <w:rFonts w:eastAsia="Times New Roman" w:cs="Times New Roman"/>
          <w:sz w:val="24"/>
          <w:szCs w:val="24"/>
        </w:rPr>
        <w:t>Correspondence concerning this article should be addressed to Anibal M. Astobiza, Department of Philosophy I, University of Granada, Campus de Cartuja s/n, 180</w:t>
      </w:r>
      <w:r>
        <w:rPr>
          <w:rFonts w:eastAsia="Times New Roman" w:cs="Times New Roman"/>
          <w:sz w:val="24"/>
          <w:szCs w:val="24"/>
        </w:rPr>
        <w:t>11</w:t>
      </w:r>
      <w:r>
        <w:rPr>
          <w:rFonts w:eastAsia="Times New Roman" w:cs="Times New Roman"/>
          <w:sz w:val="24"/>
          <w:szCs w:val="24"/>
        </w:rPr>
        <w:t xml:space="preserve"> Granada, Spain. Email: amastobiza@ugr.es</w:t>
      </w:r>
    </w:p>
    <w:p>
      <w:pPr>
        <w:pStyle w:val="Normal"/>
        <w:rPr/>
      </w:pPr>
      <w:r>
        <w:rPr/>
      </w:r>
      <w:r>
        <w:br w:type="page"/>
      </w:r>
    </w:p>
    <w:p>
      <w:pPr>
        <w:pStyle w:val="Heading1"/>
        <w:spacing w:lineRule="auto" w:line="480" w:before="0" w:after="200"/>
        <w:jc w:val="left"/>
        <w:rPr/>
      </w:pPr>
      <w:r>
        <w:rPr>
          <w:rFonts w:eastAsia="Times New Roman" w:cs="Times New Roman" w:ascii="Times New Roman" w:hAnsi="Times New Roman"/>
          <w:b/>
          <w:bCs/>
          <w:sz w:val="24"/>
          <w:szCs w:val="24"/>
        </w:rPr>
        <w:t>Abstract</w:t>
      </w:r>
    </w:p>
    <w:p>
      <w:pPr>
        <w:pStyle w:val="Normal"/>
        <w:spacing w:lineRule="auto" w:line="480" w:before="0" w:after="200"/>
        <w:jc w:val="left"/>
        <w:rPr/>
      </w:pPr>
      <w:r>
        <w:rPr>
          <w:rFonts w:eastAsia="Times New Roman" w:cs="Times New Roman"/>
          <w:sz w:val="24"/>
          <w:szCs w:val="24"/>
        </w:rPr>
        <w:t xml:space="preserve">Children are increasingly exposed to generative artificial intelligence (AI) systems during critical periods of cognitive development, yet the effects of such exposure on selective trust remain poorly understood. This study introduces a home-based event-boundary paradigm designed to test epistemic deference within a child–caregiver–AI triadic context. One child (aged 3 years) and a caregiver viewed a 2:04-minute clip from </w:t>
      </w:r>
      <w:r>
        <w:rPr>
          <w:rFonts w:eastAsia="Times New Roman" w:cs="Times New Roman"/>
          <w:i/>
          <w:iCs/>
          <w:sz w:val="24"/>
          <w:szCs w:val="24"/>
        </w:rPr>
        <w:t>Bluey</w:t>
      </w:r>
      <w:r>
        <w:rPr>
          <w:rFonts w:eastAsia="Times New Roman" w:cs="Times New Roman"/>
          <w:sz w:val="24"/>
          <w:szCs w:val="24"/>
        </w:rPr>
        <w:t xml:space="preserve"> with four predefined pauses: two at event boundaries (high narrative uncertainty) and two at control moments (low uncertainty). At each pause, the child completed three tasks: event segmentation (“same/new”), narrative prediction, and deference choice under caregiver–AI disagreement. Informant accuracy was counterbalanced by design (AI correct at boundaries; caregiver correct at controls; both 2/4 overall), isolating contextual uncertainty from cumulative reliability learning. As a proof-of-concept pilot (</w:t>
      </w:r>
      <w:r>
        <w:rPr>
          <w:rFonts w:eastAsia="Times New Roman" w:cs="Times New Roman"/>
          <w:i/>
          <w:iCs/>
          <w:sz w:val="24"/>
          <w:szCs w:val="24"/>
        </w:rPr>
        <w:t>N</w:t>
      </w:r>
      <w:r>
        <w:rPr>
          <w:rFonts w:eastAsia="Times New Roman" w:cs="Times New Roman"/>
          <w:sz w:val="24"/>
          <w:szCs w:val="24"/>
        </w:rPr>
        <w:t xml:space="preserve"> = 1), the study targeted feasibility and mechanism-level hypothesis refinement rather than population-level effect estimation. The protocol was fully executable and produced complete trial-level data. Overall robot choice was 3/4, yet robot deference was lower at boundaries (.50) than controls (1.00), yielding a negative boundary deference effect (Δ = –.50). Segmentation and prediction accuracy dropped from perfect in the first half (1.00) to null in the second half (.00), suggesting attentional or fatigue contamination. The pilot does not confirm the original directional hypothesis; instead, it supports a refined model in which epistemic deference reflects interactions among novelty bias, recency-weighted reliability tracking, and subjective boundary detection. These findings justify progression to a preregistered, adequately powered confirmatory study.</w:t>
      </w:r>
    </w:p>
    <w:p>
      <w:pPr>
        <w:pStyle w:val="Normal"/>
        <w:spacing w:lineRule="auto" w:line="480" w:before="0" w:after="200"/>
        <w:jc w:val="left"/>
        <w:rPr/>
      </w:pPr>
      <w:r>
        <w:rPr>
          <w:rFonts w:eastAsia="Times New Roman" w:cs="Times New Roman"/>
          <w:b/>
          <w:bCs/>
          <w:i w:val="false"/>
          <w:iCs w:val="false"/>
          <w:sz w:val="24"/>
          <w:szCs w:val="24"/>
        </w:rPr>
        <w:t>Keywords</w:t>
      </w:r>
      <w:r>
        <w:rPr>
          <w:rFonts w:eastAsia="Times New Roman" w:cs="Times New Roman"/>
          <w:i/>
          <w:iCs/>
          <w:sz w:val="24"/>
          <w:szCs w:val="24"/>
        </w:rPr>
        <w:t xml:space="preserve">: </w:t>
      </w:r>
      <w:r>
        <w:rPr>
          <w:rFonts w:eastAsia="Times New Roman" w:cs="Times New Roman"/>
          <w:sz w:val="24"/>
          <w:szCs w:val="24"/>
        </w:rPr>
        <w:t>selective trust, epistemic deference, event segmentation, artificial intelligence, cognitive offloading, early childhood, proof-of-concept pilot</w:t>
      </w:r>
      <w:r>
        <w:br w:type="page"/>
      </w:r>
    </w:p>
    <w:p>
      <w:pPr>
        <w:pStyle w:val="Heading1"/>
        <w:spacing w:lineRule="auto" w:line="480" w:before="0" w:after="200"/>
        <w:jc w:val="left"/>
        <w:rPr/>
      </w:pPr>
      <w:r>
        <w:rPr>
          <w:rFonts w:eastAsia="Times New Roman" w:cs="Times New Roman" w:ascii="Times New Roman" w:hAnsi="Times New Roman"/>
          <w:b/>
          <w:bCs/>
          <w:sz w:val="24"/>
          <w:szCs w:val="24"/>
        </w:rPr>
        <w:t xml:space="preserve">1. </w:t>
      </w:r>
      <w:r>
        <w:rPr>
          <w:rFonts w:eastAsia="Times New Roman" w:cs="Times New Roman" w:ascii="Times New Roman" w:hAnsi="Times New Roman"/>
          <w:b/>
          <w:bCs/>
          <w:sz w:val="24"/>
          <w:szCs w:val="24"/>
        </w:rPr>
        <w:t>Introduction</w:t>
      </w:r>
    </w:p>
    <w:p>
      <w:pPr>
        <w:pStyle w:val="Normal"/>
        <w:spacing w:lineRule="auto" w:line="480" w:before="0" w:after="200"/>
        <w:ind w:firstLine="720"/>
        <w:jc w:val="left"/>
        <w:rPr/>
      </w:pPr>
      <w:r>
        <w:rPr>
          <w:rFonts w:eastAsia="Times New Roman" w:cs="Times New Roman"/>
          <w:sz w:val="24"/>
          <w:szCs w:val="24"/>
        </w:rPr>
        <w:t xml:space="preserve">From at least the age of three, children are not indiscriminate consumers of testimony. They </w:t>
      </w:r>
      <w:r>
        <w:rPr>
          <w:rFonts w:eastAsia="Times New Roman" w:cs="Times New Roman"/>
          <w:sz w:val="24"/>
          <w:szCs w:val="24"/>
        </w:rPr>
        <w:t xml:space="preserve">express </w:t>
      </w:r>
      <w:r>
        <w:rPr>
          <w:rFonts w:eastAsia="Times New Roman" w:cs="Times New Roman"/>
          <w:sz w:val="24"/>
          <w:szCs w:val="24"/>
        </w:rPr>
        <w:t xml:space="preserve">trust by integrating informant characteristics </w:t>
      </w:r>
      <w:r>
        <w:rPr>
          <w:rFonts w:eastAsia="Times New Roman" w:cs="Times New Roman"/>
          <w:sz w:val="24"/>
          <w:szCs w:val="24"/>
        </w:rPr>
        <w:t xml:space="preserve">(e.g. </w:t>
      </w:r>
      <w:r>
        <w:rPr>
          <w:rFonts w:eastAsia="Times New Roman" w:cs="Times New Roman"/>
          <w:sz w:val="24"/>
          <w:szCs w:val="24"/>
        </w:rPr>
        <w:t>familiarity, past accuracy, and attributed expertise</w:t>
      </w:r>
      <w:r>
        <w:rPr>
          <w:rFonts w:eastAsia="Times New Roman" w:cs="Times New Roman"/>
          <w:sz w:val="24"/>
          <w:szCs w:val="24"/>
        </w:rPr>
        <w:t xml:space="preserve">) </w:t>
      </w:r>
      <w:r>
        <w:rPr>
          <w:rFonts w:eastAsia="Times New Roman" w:cs="Times New Roman"/>
          <w:sz w:val="24"/>
          <w:szCs w:val="24"/>
        </w:rPr>
        <w:t xml:space="preserve">into their learning decisions (Harris &amp; Corriveau, 2011; Koenig &amp; Harris, 2005). This capacity for </w:t>
      </w:r>
      <w:r>
        <w:rPr>
          <w:rFonts w:eastAsia="Times New Roman" w:cs="Times New Roman"/>
          <w:i/>
          <w:iCs/>
          <w:sz w:val="24"/>
          <w:szCs w:val="24"/>
        </w:rPr>
        <w:t>selective trust</w:t>
      </w:r>
      <w:r>
        <w:rPr>
          <w:rFonts w:eastAsia="Times New Roman" w:cs="Times New Roman"/>
          <w:sz w:val="24"/>
          <w:szCs w:val="24"/>
        </w:rPr>
        <w:t xml:space="preserve"> is a cornerstone of cultural learning. </w:t>
      </w:r>
      <w:r>
        <w:rPr>
          <w:rFonts w:eastAsia="Times New Roman" w:cs="Times New Roman"/>
          <w:sz w:val="24"/>
          <w:szCs w:val="24"/>
        </w:rPr>
        <w:t>I</w:t>
      </w:r>
      <w:r>
        <w:rPr>
          <w:rFonts w:eastAsia="Times New Roman" w:cs="Times New Roman"/>
          <w:sz w:val="24"/>
          <w:szCs w:val="24"/>
        </w:rPr>
        <w:t>t enables children to acquire knowledge efficiently while filtering unreliable sources (Tomasello et al., 2005). Crucially, the relation between an informant’s accuracy history and children’s trust is robust enough that it resists moderation by inferences about the informant’s traits or intentions (Ronfard &amp; Lane, 2018). Yet contemporary digital ecologies introduce a radically new epistemic actor into the child’s social world: generative artificial intelligence.</w:t>
      </w:r>
    </w:p>
    <w:p>
      <w:pPr>
        <w:pStyle w:val="Normal"/>
        <w:spacing w:lineRule="auto" w:line="480" w:before="0" w:after="200"/>
        <w:ind w:firstLine="720"/>
        <w:jc w:val="left"/>
        <w:rPr/>
      </w:pPr>
      <w:r>
        <w:rPr>
          <w:rFonts w:eastAsia="Times New Roman" w:cs="Times New Roman"/>
          <w:sz w:val="24"/>
          <w:szCs w:val="24"/>
        </w:rPr>
        <w:t xml:space="preserve">AI systems such as voice assistants, smart toys, and large language model interfaces are now present in many households with young children (Xu, 2024). These systems generate predictions, offer explanations, and answer questions with surface fluency that can be mistaken for genuine competence, a phenomenon that recent work has termed the </w:t>
      </w:r>
      <w:r>
        <w:rPr>
          <w:rFonts w:eastAsia="Times New Roman" w:cs="Times New Roman"/>
          <w:i/>
          <w:iCs/>
          <w:sz w:val="24"/>
          <w:szCs w:val="24"/>
        </w:rPr>
        <w:t>confidence heuristic</w:t>
      </w:r>
      <w:r>
        <w:rPr>
          <w:rFonts w:eastAsia="Times New Roman" w:cs="Times New Roman"/>
          <w:sz w:val="24"/>
          <w:szCs w:val="24"/>
        </w:rPr>
        <w:t xml:space="preserve"> (Jose &amp; Thomas, 2025). Emerging research on epistemic trust in generative AI demonstrates that users, including students, often accept AI-generated output uncritically, engaging in what has been called </w:t>
      </w:r>
      <w:r>
        <w:rPr>
          <w:rFonts w:eastAsia="Times New Roman" w:cs="Times New Roman"/>
          <w:i/>
          <w:iCs/>
          <w:sz w:val="24"/>
          <w:szCs w:val="24"/>
        </w:rPr>
        <w:t>automation bias</w:t>
      </w:r>
      <w:r>
        <w:rPr>
          <w:rFonts w:eastAsia="Times New Roman" w:cs="Times New Roman"/>
          <w:sz w:val="24"/>
          <w:szCs w:val="24"/>
        </w:rPr>
        <w:t xml:space="preserve"> (Jose, B. et al., 2025). A growing body of work warns that heavy cognitive offloading onto AI tools may produce </w:t>
      </w:r>
      <w:r>
        <w:rPr>
          <w:rFonts w:eastAsia="Times New Roman" w:cs="Times New Roman"/>
          <w:i/>
          <w:iCs/>
          <w:sz w:val="24"/>
          <w:szCs w:val="24"/>
        </w:rPr>
        <w:t>illusions of understanding</w:t>
      </w:r>
      <w:r>
        <w:rPr>
          <w:rFonts w:eastAsia="Times New Roman" w:cs="Times New Roman"/>
          <w:sz w:val="24"/>
          <w:szCs w:val="24"/>
        </w:rPr>
        <w:t xml:space="preserve"> and reduce the kind of effortful engagement on which deep learning depends (Fan et al., 2025; Gerlich, 2025). Yet nearly all of this evidence comes from adults or adolescents. The developmental question, how preschool children, whose epistemic vigilance mechanisms are still maturing (Sperber et al., 2010), navigate trust decisions involving AI; remains largely unaddressed.</w:t>
      </w:r>
    </w:p>
    <w:p>
      <w:pPr>
        <w:pStyle w:val="Normal"/>
        <w:spacing w:lineRule="auto" w:line="480" w:before="0" w:after="200"/>
        <w:ind w:firstLine="720"/>
        <w:jc w:val="left"/>
        <w:rPr/>
      </w:pPr>
      <w:r>
        <w:rPr>
          <w:rFonts w:eastAsia="Times New Roman" w:cs="Times New Roman"/>
          <w:sz w:val="24"/>
          <w:szCs w:val="24"/>
        </w:rPr>
        <w:t xml:space="preserve">Event-segmentation theory provides a tractable framework for studying the cognitive conditions under which trust decisions occur. According to this theory, people spontaneously parse continuous experience into discrete events, and narrative boundaries </w:t>
      </w:r>
      <w:r>
        <w:rPr>
          <w:rFonts w:eastAsia="Times New Roman" w:cs="Times New Roman"/>
          <w:sz w:val="24"/>
          <w:szCs w:val="24"/>
        </w:rPr>
        <w:t>(</w:t>
      </w:r>
      <w:r>
        <w:rPr>
          <w:rFonts w:eastAsia="Times New Roman" w:cs="Times New Roman"/>
          <w:sz w:val="24"/>
          <w:szCs w:val="24"/>
        </w:rPr>
        <w:t>points at which the situational model must be updated</w:t>
      </w:r>
      <w:r>
        <w:rPr>
          <w:rFonts w:eastAsia="Times New Roman" w:cs="Times New Roman"/>
          <w:sz w:val="24"/>
          <w:szCs w:val="24"/>
        </w:rPr>
        <w:t xml:space="preserve">) </w:t>
      </w:r>
      <w:r>
        <w:rPr>
          <w:rFonts w:eastAsia="Times New Roman" w:cs="Times New Roman"/>
          <w:sz w:val="24"/>
          <w:szCs w:val="24"/>
        </w:rPr>
        <w:t>generate transient increases in prediction error and uncertainty (Zacks et al., 2007). We hypothesized that these moments of heightened epistemic openness could function as natural modulators of deference. Specifically, if a child’s internal model is disrupted at an event boundary, the child may be more susceptible to external guidance, including guidance from a novel artificial informant.</w:t>
      </w:r>
    </w:p>
    <w:p>
      <w:pPr>
        <w:pStyle w:val="Normal"/>
        <w:spacing w:lineRule="auto" w:line="480" w:before="0" w:after="200"/>
        <w:ind w:firstLine="720"/>
        <w:jc w:val="left"/>
        <w:rPr/>
      </w:pPr>
      <w:r>
        <w:rPr>
          <w:rFonts w:eastAsia="Times New Roman" w:cs="Times New Roman"/>
          <w:sz w:val="24"/>
          <w:szCs w:val="24"/>
        </w:rPr>
        <w:t>A central methodological challenge in testing this hypothesis is separating the effects of contextual uncertainty from simple reliability learning. If one informant is consistently more accurate across trials, any observed deference pattern may reflect cumulative reinforcement history rather than boundary-specific epistemic openness. To address this confound, the present paradigm counterbalances informant accuracy by condition: the AI is correct at event boundaries, the caregiver is correct at control moments, and both informants end with identical overall accuracy (2/4 each). This design isolates the contextual effect of boundary uncertainty from the accumulation of differential reliability.</w:t>
      </w:r>
    </w:p>
    <w:p>
      <w:pPr>
        <w:pStyle w:val="Normal"/>
        <w:spacing w:lineRule="auto" w:line="480" w:before="0" w:after="200"/>
        <w:ind w:firstLine="720"/>
        <w:jc w:val="left"/>
        <w:rPr/>
      </w:pPr>
      <w:r>
        <w:rPr>
          <w:rFonts w:eastAsia="Times New Roman" w:cs="Times New Roman"/>
          <w:sz w:val="24"/>
          <w:szCs w:val="24"/>
        </w:rPr>
        <w:t>The original directional hypothesis predicted higher AI deference at event boundaries. However, because the paradigm is novel and involves a demanding triadic interaction with a 3-year-old in a domestic setting, a proof-of-concept pilot was necessary before committing to a powered confirmatory study. Consistent with best practice in experimental design (Leon et al., 2011), the primary goals of this pilot were: (a) to evaluate operational feasibility, (b) to test whether the measurement system yields interpretable behavioral variance, and (c) to identify design-level threats and refine the theoretical model.</w:t>
      </w:r>
    </w:p>
    <w:p>
      <w:pPr>
        <w:pStyle w:val="Heading1"/>
        <w:spacing w:lineRule="auto" w:line="480" w:before="360" w:after="200"/>
        <w:jc w:val="left"/>
        <w:rPr/>
      </w:pPr>
      <w:r>
        <w:rPr>
          <w:rFonts w:eastAsia="Times New Roman" w:cs="Times New Roman" w:ascii="Times New Roman" w:hAnsi="Times New Roman"/>
          <w:b/>
          <w:bCs/>
          <w:sz w:val="24"/>
          <w:szCs w:val="24"/>
        </w:rPr>
        <w:t xml:space="preserve">2. </w:t>
      </w:r>
      <w:r>
        <w:rPr>
          <w:rFonts w:eastAsia="Times New Roman" w:cs="Times New Roman" w:ascii="Times New Roman" w:hAnsi="Times New Roman"/>
          <w:b/>
          <w:bCs/>
          <w:sz w:val="24"/>
          <w:szCs w:val="24"/>
        </w:rPr>
        <w:t>Method</w:t>
      </w:r>
    </w:p>
    <w:p>
      <w:pPr>
        <w:pStyle w:val="Heading1"/>
        <w:spacing w:lineRule="auto" w:line="480" w:before="360" w:after="200"/>
        <w:jc w:val="left"/>
        <w:rPr>
          <w:rFonts w:ascii="Times New Roman" w:hAnsi="Times New Roman" w:eastAsia="Times New Roman" w:cs="Times New Roman"/>
          <w:b w:val="false"/>
          <w:bCs w:val="false"/>
          <w:sz w:val="24"/>
          <w:szCs w:val="24"/>
        </w:rPr>
      </w:pPr>
      <w:r>
        <w:rPr>
          <w:rFonts w:eastAsia="Times New Roman" w:cs="Times New Roman" w:ascii="Times New Roman" w:hAnsi="Times New Roman"/>
          <w:b w:val="false"/>
          <w:bCs w:val="false"/>
          <w:sz w:val="24"/>
          <w:szCs w:val="24"/>
        </w:rPr>
        <w:t xml:space="preserve">The present study employed a Single-Case Experimental Design (SCED) to evaluate the operational viability of a novel domestic paradigm designed to measure epistemic deference </w:t>
      </w:r>
      <w:r>
        <w:rPr>
          <w:rFonts w:eastAsia="Times New Roman" w:cs="Times New Roman" w:ascii="Times New Roman" w:hAnsi="Times New Roman"/>
          <w:b w:val="false"/>
          <w:bCs w:val="false"/>
          <w:sz w:val="24"/>
          <w:szCs w:val="24"/>
        </w:rPr>
        <w:t>(trust)</w:t>
      </w:r>
      <w:r>
        <w:rPr>
          <w:rFonts w:eastAsia="Times New Roman" w:cs="Times New Roman" w:ascii="Times New Roman" w:hAnsi="Times New Roman"/>
          <w:b w:val="false"/>
          <w:bCs w:val="false"/>
          <w:sz w:val="24"/>
          <w:szCs w:val="24"/>
        </w:rPr>
        <w:t xml:space="preserve"> in early childhood. This pilot phase focused on a single three-year-old participant in an ecological home setting. The primary objective was not to confirm generalizable effects but to refine the experimental protocol and identify qualitative markers of cognitive conflict that group averages might otherwise obscure. </w:t>
      </w:r>
    </w:p>
    <w:p>
      <w:pPr>
        <w:pStyle w:val="Heading2"/>
        <w:spacing w:lineRule="auto" w:line="480" w:before="360" w:after="200"/>
        <w:jc w:val="left"/>
        <w:rPr/>
      </w:pPr>
      <w:r>
        <w:rPr>
          <w:rFonts w:eastAsia="Times New Roman" w:cs="Times New Roman" w:ascii="Times New Roman" w:hAnsi="Times New Roman"/>
          <w:b/>
          <w:bCs/>
          <w:sz w:val="24"/>
          <w:szCs w:val="24"/>
        </w:rPr>
        <w:t xml:space="preserve">2.1 </w:t>
      </w:r>
      <w:r>
        <w:rPr>
          <w:rFonts w:eastAsia="Times New Roman" w:cs="Times New Roman" w:ascii="Times New Roman" w:hAnsi="Times New Roman"/>
          <w:b/>
          <w:bCs/>
          <w:sz w:val="24"/>
          <w:szCs w:val="24"/>
        </w:rPr>
        <w:t>Design</w:t>
      </w:r>
    </w:p>
    <w:p>
      <w:pPr>
        <w:pStyle w:val="Normal"/>
        <w:spacing w:lineRule="auto" w:line="480" w:before="0" w:after="200"/>
        <w:ind w:firstLine="720"/>
        <w:jc w:val="left"/>
        <w:rPr/>
      </w:pPr>
      <w:r>
        <w:rPr>
          <w:rFonts w:eastAsia="Times New Roman" w:cs="Times New Roman"/>
          <w:sz w:val="24"/>
          <w:szCs w:val="24"/>
        </w:rPr>
        <w:t>This was a single-case proof-of-concept pilot using a within-session repeated-measures structure (four trials: P1–P4). The inferential target was feasibility and mechanism discovery, not population-level confirmation.</w:t>
      </w:r>
    </w:p>
    <w:p>
      <w:pPr>
        <w:pStyle w:val="Heading2"/>
        <w:spacing w:lineRule="auto" w:line="480" w:before="360" w:after="200"/>
        <w:jc w:val="left"/>
        <w:rPr/>
      </w:pPr>
      <w:r>
        <w:rPr>
          <w:rFonts w:eastAsia="Times New Roman" w:cs="Times New Roman" w:ascii="Times New Roman" w:hAnsi="Times New Roman"/>
          <w:b/>
          <w:bCs/>
          <w:sz w:val="24"/>
          <w:szCs w:val="24"/>
        </w:rPr>
        <w:t xml:space="preserve">2.3 </w:t>
      </w:r>
      <w:r>
        <w:rPr>
          <w:rFonts w:eastAsia="Times New Roman" w:cs="Times New Roman" w:ascii="Times New Roman" w:hAnsi="Times New Roman"/>
          <w:b/>
          <w:bCs/>
          <w:sz w:val="24"/>
          <w:szCs w:val="24"/>
        </w:rPr>
        <w:t xml:space="preserve">Participant and </w:t>
      </w:r>
      <w:r>
        <w:rPr>
          <w:rFonts w:eastAsia="Times New Roman" w:cs="Times New Roman" w:ascii="Times New Roman" w:hAnsi="Times New Roman"/>
          <w:b/>
          <w:bCs/>
          <w:sz w:val="24"/>
          <w:szCs w:val="24"/>
        </w:rPr>
        <w:t>s</w:t>
      </w:r>
      <w:r>
        <w:rPr>
          <w:rFonts w:eastAsia="Times New Roman" w:cs="Times New Roman" w:ascii="Times New Roman" w:hAnsi="Times New Roman"/>
          <w:b/>
          <w:bCs/>
          <w:sz w:val="24"/>
          <w:szCs w:val="24"/>
        </w:rPr>
        <w:t>etting</w:t>
      </w:r>
    </w:p>
    <w:p>
      <w:pPr>
        <w:pStyle w:val="Normal"/>
        <w:spacing w:lineRule="auto" w:line="480" w:before="0" w:after="200"/>
        <w:ind w:firstLine="720"/>
        <w:jc w:val="left"/>
        <w:rPr/>
      </w:pPr>
      <w:r>
        <w:rPr>
          <w:rFonts w:eastAsia="Times New Roman" w:cs="Times New Roman"/>
          <w:sz w:val="24"/>
          <w:szCs w:val="24"/>
        </w:rPr>
        <w:t xml:space="preserve">One child (3 years, </w:t>
      </w:r>
      <w:r>
        <w:rPr>
          <w:rFonts w:eastAsia="Times New Roman" w:cs="Times New Roman"/>
          <w:sz w:val="24"/>
          <w:szCs w:val="24"/>
        </w:rPr>
        <w:t>male</w:t>
      </w:r>
      <w:r>
        <w:rPr>
          <w:rFonts w:eastAsia="Times New Roman" w:cs="Times New Roman"/>
          <w:sz w:val="24"/>
          <w:szCs w:val="24"/>
        </w:rPr>
        <w:t xml:space="preserve">) participated with a primary caregiver in a domestic setting. The caregiver was present throughout. The protocol was administered via a </w:t>
      </w:r>
      <w:r>
        <w:rPr>
          <w:rFonts w:eastAsia="Times New Roman" w:cs="Times New Roman"/>
          <w:sz w:val="24"/>
          <w:szCs w:val="24"/>
        </w:rPr>
        <w:t>portable proyector</w:t>
      </w:r>
      <w:r>
        <w:rPr>
          <w:rFonts w:eastAsia="Times New Roman" w:cs="Times New Roman"/>
          <w:sz w:val="24"/>
          <w:szCs w:val="24"/>
        </w:rPr>
        <w:t xml:space="preserve"> and the child responded using physical cards depicting the caregiver and a cartoon robot. Informed consent was obtained from the caregiver. The study complied with the Declaration of Helsinki and institutional ethical guidelines. </w:t>
      </w:r>
      <w:r>
        <w:rPr>
          <w:rFonts w:eastAsia="Times New Roman" w:cs="Times New Roman" w:ascii="Times New Roman" w:hAnsi="Times New Roman"/>
          <w:sz w:val="24"/>
          <w:szCs w:val="24"/>
        </w:rPr>
        <w:t>The study protocol was reviewed and approved by the Research Ethics Committee of the University of Granada (CEIH), approval number 4948/CEIH/2025</w:t>
      </w:r>
    </w:p>
    <w:p>
      <w:pPr>
        <w:pStyle w:val="Heading2"/>
        <w:spacing w:lineRule="auto" w:line="480" w:before="360" w:after="200"/>
        <w:jc w:val="left"/>
        <w:rPr/>
      </w:pPr>
      <w:r>
        <w:rPr>
          <w:rFonts w:eastAsia="Times New Roman" w:cs="Times New Roman" w:ascii="Times New Roman" w:hAnsi="Times New Roman"/>
          <w:b/>
          <w:bCs/>
          <w:sz w:val="24"/>
          <w:szCs w:val="24"/>
        </w:rPr>
        <w:t xml:space="preserve">2.4 </w:t>
      </w:r>
      <w:r>
        <w:rPr>
          <w:rFonts w:eastAsia="Times New Roman" w:cs="Times New Roman" w:ascii="Times New Roman" w:hAnsi="Times New Roman"/>
          <w:b/>
          <w:bCs/>
          <w:sz w:val="24"/>
          <w:szCs w:val="24"/>
        </w:rPr>
        <w:t xml:space="preserve">Materials and </w:t>
      </w:r>
      <w:r>
        <w:rPr>
          <w:rFonts w:eastAsia="Times New Roman" w:cs="Times New Roman" w:ascii="Times New Roman" w:hAnsi="Times New Roman"/>
          <w:b/>
          <w:bCs/>
          <w:sz w:val="24"/>
          <w:szCs w:val="24"/>
        </w:rPr>
        <w:t>s</w:t>
      </w:r>
      <w:r>
        <w:rPr>
          <w:rFonts w:eastAsia="Times New Roman" w:cs="Times New Roman" w:ascii="Times New Roman" w:hAnsi="Times New Roman"/>
          <w:b/>
          <w:bCs/>
          <w:sz w:val="24"/>
          <w:szCs w:val="24"/>
        </w:rPr>
        <w:t>timulus</w:t>
      </w:r>
    </w:p>
    <w:p>
      <w:pPr>
        <w:pStyle w:val="Normal"/>
        <w:spacing w:lineRule="auto" w:line="480" w:before="0" w:after="200"/>
        <w:ind w:firstLine="720"/>
        <w:jc w:val="left"/>
        <w:rPr/>
      </w:pPr>
      <w:r>
        <w:rPr>
          <w:rFonts w:eastAsia="Times New Roman" w:cs="Times New Roman"/>
          <w:sz w:val="24"/>
          <w:szCs w:val="24"/>
        </w:rPr>
        <w:t xml:space="preserve">The stimulus was a 2:04-minute clip from </w:t>
      </w:r>
      <w:r>
        <w:rPr>
          <w:rFonts w:eastAsia="Times New Roman" w:cs="Times New Roman"/>
          <w:i/>
          <w:iCs/>
          <w:sz w:val="24"/>
          <w:szCs w:val="24"/>
        </w:rPr>
        <w:t>Bluey</w:t>
      </w:r>
      <w:r>
        <w:rPr>
          <w:rFonts w:eastAsia="Times New Roman" w:cs="Times New Roman"/>
          <w:sz w:val="24"/>
          <w:szCs w:val="24"/>
        </w:rPr>
        <w:t xml:space="preserve"> Season 1, Episode 1 (“Magic Xylophone”). </w:t>
      </w:r>
      <w:r>
        <w:rPr>
          <w:rFonts w:eastAsia="Times New Roman" w:cs="Times New Roman"/>
          <w:i/>
          <w:iCs/>
          <w:sz w:val="24"/>
          <w:szCs w:val="24"/>
        </w:rPr>
        <w:t>Bluey</w:t>
      </w:r>
      <w:r>
        <w:rPr>
          <w:rFonts w:eastAsia="Times New Roman" w:cs="Times New Roman"/>
          <w:sz w:val="24"/>
          <w:szCs w:val="24"/>
        </w:rPr>
        <w:t xml:space="preserve"> was selected for its high narrative density, child appeal, and well-defined event structure. Four pause points were pre-specified based on prior event-segmentation coding of the episode:</w:t>
      </w:r>
    </w:p>
    <w:p>
      <w:pPr>
        <w:pStyle w:val="Normal"/>
        <w:spacing w:lineRule="auto" w:line="480" w:before="0" w:after="200"/>
        <w:jc w:val="left"/>
        <w:rPr/>
      </w:pPr>
      <w:r>
        <w:rPr>
          <w:rFonts w:eastAsia="Times New Roman" w:cs="Times New Roman"/>
          <w:sz w:val="24"/>
          <w:szCs w:val="24"/>
        </w:rPr>
        <w:t>P1 (Boundary, ~0:25): Scene transition—AI-correct trial.</w:t>
      </w:r>
    </w:p>
    <w:p>
      <w:pPr>
        <w:pStyle w:val="Normal"/>
        <w:spacing w:lineRule="auto" w:line="480" w:before="0" w:after="200"/>
        <w:jc w:val="left"/>
        <w:rPr/>
      </w:pPr>
      <w:r>
        <w:rPr>
          <w:rFonts w:eastAsia="Times New Roman" w:cs="Times New Roman"/>
          <w:sz w:val="24"/>
          <w:szCs w:val="24"/>
        </w:rPr>
        <w:t>P2 (Control, ~0:50): Within-scene continuation—caregiver-correct trial.</w:t>
      </w:r>
    </w:p>
    <w:p>
      <w:pPr>
        <w:pStyle w:val="Normal"/>
        <w:spacing w:lineRule="auto" w:line="480" w:before="0" w:after="200"/>
        <w:jc w:val="left"/>
        <w:rPr/>
      </w:pPr>
      <w:r>
        <w:rPr>
          <w:rFonts w:eastAsia="Times New Roman" w:cs="Times New Roman"/>
          <w:sz w:val="24"/>
          <w:szCs w:val="24"/>
        </w:rPr>
        <w:t>P3 (Boundary, ~1:15): Scene transition—AI-correct trial.</w:t>
      </w:r>
    </w:p>
    <w:p>
      <w:pPr>
        <w:pStyle w:val="Normal"/>
        <w:spacing w:lineRule="auto" w:line="480" w:before="0" w:after="200"/>
        <w:jc w:val="left"/>
        <w:rPr/>
      </w:pPr>
      <w:r>
        <w:rPr>
          <w:rFonts w:eastAsia="Times New Roman" w:cs="Times New Roman"/>
          <w:sz w:val="24"/>
          <w:szCs w:val="24"/>
        </w:rPr>
        <w:t>P4 (Control, ~1:35): Within-scene continuation—caregiver-correct trial.</w:t>
      </w:r>
    </w:p>
    <w:p>
      <w:pPr>
        <w:pStyle w:val="Heading2"/>
        <w:spacing w:lineRule="auto" w:line="480" w:before="360" w:after="200"/>
        <w:jc w:val="left"/>
        <w:rPr/>
      </w:pPr>
      <w:r>
        <w:rPr>
          <w:rFonts w:eastAsia="Times New Roman" w:cs="Times New Roman" w:ascii="Times New Roman" w:hAnsi="Times New Roman"/>
          <w:b/>
          <w:bCs/>
          <w:sz w:val="24"/>
          <w:szCs w:val="24"/>
        </w:rPr>
        <w:t xml:space="preserve">2.5 </w:t>
      </w:r>
      <w:r>
        <w:rPr>
          <w:rFonts w:eastAsia="Times New Roman" w:cs="Times New Roman" w:ascii="Times New Roman" w:hAnsi="Times New Roman"/>
          <w:b/>
          <w:bCs/>
          <w:sz w:val="24"/>
          <w:szCs w:val="24"/>
        </w:rPr>
        <w:t>Procedure</w:t>
      </w:r>
    </w:p>
    <w:p>
      <w:pPr>
        <w:pStyle w:val="Normal"/>
        <w:spacing w:lineRule="auto" w:line="480" w:before="0" w:after="200"/>
        <w:jc w:val="left"/>
        <w:rPr/>
      </w:pPr>
      <w:r>
        <w:rPr>
          <w:rFonts w:eastAsia="Times New Roman" w:cs="Times New Roman"/>
          <w:sz w:val="24"/>
          <w:szCs w:val="24"/>
        </w:rPr>
        <w:t>At each pause, the same three-step micro-protocol was administered:</w:t>
      </w:r>
    </w:p>
    <w:p>
      <w:pPr>
        <w:pStyle w:val="Normal"/>
        <w:spacing w:lineRule="auto" w:line="480" w:before="0" w:after="200"/>
        <w:jc w:val="left"/>
        <w:rPr/>
      </w:pPr>
      <w:r>
        <w:rPr>
          <w:rFonts w:eastAsia="Times New Roman" w:cs="Times New Roman"/>
          <w:b w:val="false"/>
          <w:bCs w:val="false"/>
          <w:i/>
          <w:iCs/>
          <w:sz w:val="24"/>
          <w:szCs w:val="24"/>
        </w:rPr>
        <w:t>Se</w:t>
      </w:r>
      <w:r>
        <w:rPr>
          <w:rFonts w:eastAsia="Times New Roman" w:cs="Times New Roman"/>
          <w:b w:val="false"/>
          <w:bCs w:val="false"/>
          <w:i/>
          <w:iCs/>
          <w:sz w:val="24"/>
          <w:szCs w:val="24"/>
        </w:rPr>
        <w:t>gmentation</w:t>
      </w:r>
      <w:r>
        <w:rPr>
          <w:rFonts w:eastAsia="Times New Roman" w:cs="Times New Roman"/>
          <w:b w:val="false"/>
          <w:bCs w:val="false"/>
          <w:sz w:val="24"/>
          <w:szCs w:val="24"/>
        </w:rPr>
        <w:t xml:space="preserve">. </w:t>
      </w:r>
      <w:r>
        <w:rPr>
          <w:rFonts w:eastAsia="Times New Roman" w:cs="Times New Roman"/>
          <w:sz w:val="24"/>
          <w:szCs w:val="24"/>
        </w:rPr>
        <w:t>The child was asked: “Is it the same thing happening, or is something new happening?” This provides a behavioral index of subjective boundary detection.</w:t>
      </w:r>
    </w:p>
    <w:p>
      <w:pPr>
        <w:pStyle w:val="Normal"/>
        <w:spacing w:lineRule="auto" w:line="480" w:before="0" w:after="200"/>
        <w:jc w:val="left"/>
        <w:rPr/>
      </w:pPr>
      <w:r>
        <w:rPr>
          <w:rFonts w:eastAsia="Times New Roman" w:cs="Times New Roman"/>
          <w:b w:val="false"/>
          <w:bCs w:val="false"/>
          <w:i/>
          <w:iCs/>
          <w:sz w:val="24"/>
          <w:szCs w:val="24"/>
        </w:rPr>
        <w:t>Predi</w:t>
      </w:r>
      <w:r>
        <w:rPr>
          <w:rFonts w:eastAsia="Times New Roman" w:cs="Times New Roman"/>
          <w:b w:val="false"/>
          <w:bCs w:val="false"/>
          <w:i/>
          <w:iCs/>
          <w:sz w:val="24"/>
          <w:szCs w:val="24"/>
        </w:rPr>
        <w:t>ction</w:t>
      </w:r>
      <w:r>
        <w:rPr>
          <w:rFonts w:eastAsia="Times New Roman" w:cs="Times New Roman"/>
          <w:b w:val="false"/>
          <w:bCs w:val="false"/>
          <w:sz w:val="24"/>
          <w:szCs w:val="24"/>
        </w:rPr>
        <w:t xml:space="preserve">. </w:t>
      </w:r>
      <w:r>
        <w:rPr>
          <w:rFonts w:eastAsia="Times New Roman" w:cs="Times New Roman"/>
          <w:sz w:val="24"/>
          <w:szCs w:val="24"/>
        </w:rPr>
        <w:t>The child chose between two forced-choice options for what would happen next. This assesses narrative prediction accuracy as a proxy for model-updating engagement.</w:t>
      </w:r>
    </w:p>
    <w:p>
      <w:pPr>
        <w:pStyle w:val="Normal"/>
        <w:spacing w:lineRule="auto" w:line="480" w:before="0" w:after="200"/>
        <w:jc w:val="left"/>
        <w:rPr/>
      </w:pPr>
      <w:r>
        <w:rPr>
          <w:rFonts w:eastAsia="Times New Roman" w:cs="Times New Roman"/>
          <w:b w:val="false"/>
          <w:bCs w:val="false"/>
          <w:i/>
          <w:iCs/>
          <w:sz w:val="24"/>
          <w:szCs w:val="24"/>
        </w:rPr>
        <w:t>Deference.</w:t>
      </w:r>
      <w:r>
        <w:rPr>
          <w:rFonts w:eastAsia="Times New Roman" w:cs="Times New Roman"/>
          <w:b/>
          <w:bCs/>
          <w:sz w:val="24"/>
          <w:szCs w:val="24"/>
        </w:rPr>
        <w:t xml:space="preserve"> </w:t>
      </w:r>
      <w:r>
        <w:rPr>
          <w:rFonts w:eastAsia="Times New Roman" w:cs="Times New Roman"/>
          <w:sz w:val="24"/>
          <w:szCs w:val="24"/>
        </w:rPr>
        <w:t>The caregiver and the AI (represented by the robot card and a pre-recorded voice) offered opposing predictions. The child selected which informant to follow. This is the primary measure of epistemic deference.</w:t>
      </w:r>
    </w:p>
    <w:p>
      <w:pPr>
        <w:pStyle w:val="Normal"/>
        <w:spacing w:lineRule="auto" w:line="480" w:before="0" w:after="200"/>
        <w:ind w:firstLine="720"/>
        <w:jc w:val="left"/>
        <w:rPr/>
      </w:pPr>
      <w:r>
        <w:rPr>
          <w:rFonts w:eastAsia="Times New Roman" w:cs="Times New Roman"/>
          <w:sz w:val="24"/>
          <w:szCs w:val="24"/>
        </w:rPr>
        <w:t>After each response, playback resumed for approximately 10–15 seconds so the child could observe the true outcome and update informant accuracy representations.</w:t>
      </w:r>
    </w:p>
    <w:p>
      <w:pPr>
        <w:pStyle w:val="Heading2"/>
        <w:spacing w:lineRule="auto" w:line="480" w:before="360" w:after="200"/>
        <w:jc w:val="left"/>
        <w:rPr/>
      </w:pPr>
      <w:r>
        <w:rPr>
          <w:rFonts w:eastAsia="Times New Roman" w:cs="Times New Roman" w:ascii="Times New Roman" w:hAnsi="Times New Roman"/>
          <w:b/>
          <w:bCs/>
          <w:sz w:val="24"/>
          <w:szCs w:val="24"/>
        </w:rPr>
        <w:t xml:space="preserve">2.6 </w:t>
      </w:r>
      <w:r>
        <w:rPr>
          <w:rFonts w:eastAsia="Times New Roman" w:cs="Times New Roman" w:ascii="Times New Roman" w:hAnsi="Times New Roman"/>
          <w:b/>
          <w:bCs/>
          <w:sz w:val="24"/>
          <w:szCs w:val="24"/>
        </w:rPr>
        <w:t>Measures</w:t>
      </w:r>
    </w:p>
    <w:p>
      <w:pPr>
        <w:pStyle w:val="Normal"/>
        <w:spacing w:lineRule="auto" w:line="480" w:before="0" w:after="200"/>
        <w:jc w:val="left"/>
        <w:rPr/>
      </w:pPr>
      <w:r>
        <w:rPr>
          <w:rFonts w:eastAsia="Times New Roman" w:cs="Times New Roman"/>
          <w:sz w:val="24"/>
          <w:szCs w:val="24"/>
        </w:rPr>
        <w:t xml:space="preserve">The primary construct was the </w:t>
      </w:r>
      <w:r>
        <w:rPr>
          <w:rFonts w:eastAsia="Times New Roman" w:cs="Times New Roman"/>
          <w:i/>
          <w:iCs/>
          <w:sz w:val="24"/>
          <w:szCs w:val="24"/>
        </w:rPr>
        <w:t>boundary deference effect</w:t>
      </w:r>
      <w:r>
        <w:rPr>
          <w:rFonts w:eastAsia="Times New Roman" w:cs="Times New Roman"/>
          <w:sz w:val="24"/>
          <w:szCs w:val="24"/>
        </w:rPr>
        <w:t>, operationalized as Δ</w:t>
      </w:r>
      <w:r>
        <w:rPr>
          <w:rFonts w:eastAsia="Times New Roman" w:cs="Times New Roman"/>
          <w:sz w:val="20"/>
          <w:szCs w:val="20"/>
          <w:vertAlign w:val="subscript"/>
        </w:rPr>
        <w:t>deference</w:t>
      </w:r>
      <w:r>
        <w:rPr>
          <w:rFonts w:eastAsia="Times New Roman" w:cs="Times New Roman"/>
          <w:sz w:val="24"/>
          <w:szCs w:val="24"/>
        </w:rPr>
        <w:t xml:space="preserve"> = </w:t>
      </w:r>
      <w:r>
        <w:rPr>
          <w:rFonts w:eastAsia="Times New Roman" w:cs="Times New Roman"/>
          <w:i/>
          <w:iCs/>
          <w:sz w:val="24"/>
          <w:szCs w:val="24"/>
        </w:rPr>
        <w:t>P</w:t>
      </w:r>
      <w:r>
        <w:rPr>
          <w:rFonts w:eastAsia="Times New Roman" w:cs="Times New Roman"/>
          <w:sz w:val="24"/>
          <w:szCs w:val="24"/>
        </w:rPr>
        <w:t xml:space="preserve">(robot | boundary) – </w:t>
      </w:r>
      <w:r>
        <w:rPr>
          <w:rFonts w:eastAsia="Times New Roman" w:cs="Times New Roman"/>
          <w:i/>
          <w:iCs/>
          <w:sz w:val="24"/>
          <w:szCs w:val="24"/>
        </w:rPr>
        <w:t>P</w:t>
      </w:r>
      <w:r>
        <w:rPr>
          <w:rFonts w:eastAsia="Times New Roman" w:cs="Times New Roman"/>
          <w:sz w:val="24"/>
          <w:szCs w:val="24"/>
        </w:rPr>
        <w:t xml:space="preserve">(robot | control). Secondary outcomes included, </w:t>
      </w:r>
      <w:r>
        <w:rPr>
          <w:rFonts w:eastAsia="Times New Roman" w:cs="Times New Roman"/>
          <w:sz w:val="24"/>
          <w:szCs w:val="24"/>
        </w:rPr>
        <w:t>for example,</w:t>
      </w:r>
      <w:r>
        <w:rPr>
          <w:rFonts w:eastAsia="Times New Roman" w:cs="Times New Roman"/>
          <w:sz w:val="24"/>
          <w:szCs w:val="24"/>
        </w:rPr>
        <w:t xml:space="preserve"> segmentation accuracy by condition and session half, prediction accuracy by condition and session half, deference rate by condition, and hesitation (binary: present/absent) as a conflict marker.</w:t>
      </w:r>
    </w:p>
    <w:p>
      <w:pPr>
        <w:pStyle w:val="Heading2"/>
        <w:spacing w:lineRule="auto" w:line="480" w:before="360" w:after="200"/>
        <w:jc w:val="left"/>
        <w:rPr/>
      </w:pPr>
      <w:r>
        <w:rPr>
          <w:rFonts w:eastAsia="Times New Roman" w:cs="Times New Roman" w:ascii="Times New Roman" w:hAnsi="Times New Roman"/>
          <w:b/>
          <w:bCs/>
          <w:sz w:val="24"/>
          <w:szCs w:val="24"/>
        </w:rPr>
        <w:t xml:space="preserve">2. 7 </w:t>
      </w:r>
      <w:r>
        <w:rPr>
          <w:rFonts w:eastAsia="Times New Roman" w:cs="Times New Roman" w:ascii="Times New Roman" w:hAnsi="Times New Roman"/>
          <w:b/>
          <w:bCs/>
          <w:sz w:val="24"/>
          <w:szCs w:val="24"/>
        </w:rPr>
        <w:t xml:space="preserve">Analytic </w:t>
      </w:r>
      <w:r>
        <w:rPr>
          <w:rFonts w:eastAsia="Times New Roman" w:cs="Times New Roman" w:ascii="Times New Roman" w:hAnsi="Times New Roman"/>
          <w:b/>
          <w:bCs/>
          <w:sz w:val="24"/>
          <w:szCs w:val="24"/>
        </w:rPr>
        <w:t>s</w:t>
      </w:r>
      <w:r>
        <w:rPr>
          <w:rFonts w:eastAsia="Times New Roman" w:cs="Times New Roman" w:ascii="Times New Roman" w:hAnsi="Times New Roman"/>
          <w:b/>
          <w:bCs/>
          <w:sz w:val="24"/>
          <w:szCs w:val="24"/>
        </w:rPr>
        <w:t>trategy</w:t>
      </w:r>
    </w:p>
    <w:p>
      <w:pPr>
        <w:pStyle w:val="Normal"/>
        <w:spacing w:lineRule="auto" w:line="480" w:before="0" w:after="200"/>
        <w:ind w:firstLine="720"/>
        <w:jc w:val="left"/>
        <w:rPr/>
      </w:pPr>
      <w:r>
        <w:rPr>
          <w:rFonts w:eastAsia="Times New Roman" w:cs="Times New Roman"/>
          <w:sz w:val="24"/>
          <w:szCs w:val="24"/>
        </w:rPr>
        <w:t xml:space="preserve">Given </w:t>
      </w:r>
      <w:r>
        <w:rPr>
          <w:rFonts w:eastAsia="Times New Roman" w:cs="Times New Roman"/>
          <w:i/>
          <w:iCs/>
          <w:sz w:val="24"/>
          <w:szCs w:val="24"/>
        </w:rPr>
        <w:t>N</w:t>
      </w:r>
      <w:r>
        <w:rPr>
          <w:rFonts w:eastAsia="Times New Roman" w:cs="Times New Roman"/>
          <w:sz w:val="24"/>
          <w:szCs w:val="24"/>
        </w:rPr>
        <w:t xml:space="preserve"> = 1 and four trials, analyses were descriptive and case-based: (a) trial-level trajectory analysis, (b) condition-level proportions, (c) first-half versus second-half temporal profile, and (d) exact binomial 95% confidence intervals for observed proportions. No confirmatory population inferences were attempted.</w:t>
      </w:r>
    </w:p>
    <w:p>
      <w:pPr>
        <w:pStyle w:val="Heading1"/>
        <w:spacing w:lineRule="auto" w:line="480" w:before="360" w:after="200"/>
        <w:jc w:val="left"/>
        <w:rPr/>
      </w:pPr>
      <w:r>
        <w:rPr>
          <w:rFonts w:eastAsia="Times New Roman" w:cs="Times New Roman" w:ascii="Times New Roman" w:hAnsi="Times New Roman"/>
          <w:b/>
          <w:bCs/>
          <w:sz w:val="24"/>
          <w:szCs w:val="24"/>
        </w:rPr>
        <w:t xml:space="preserve">3. </w:t>
      </w:r>
      <w:r>
        <w:rPr>
          <w:rFonts w:eastAsia="Times New Roman" w:cs="Times New Roman" w:ascii="Times New Roman" w:hAnsi="Times New Roman"/>
          <w:b/>
          <w:bCs/>
          <w:sz w:val="24"/>
          <w:szCs w:val="24"/>
        </w:rPr>
        <w:t>Results</w:t>
      </w:r>
    </w:p>
    <w:p>
      <w:pPr>
        <w:pStyle w:val="Heading2"/>
        <w:spacing w:lineRule="auto" w:line="480" w:before="360" w:after="200"/>
        <w:jc w:val="left"/>
        <w:rPr/>
      </w:pPr>
      <w:r>
        <w:rPr>
          <w:rFonts w:eastAsia="Times New Roman" w:cs="Times New Roman" w:ascii="Times New Roman" w:hAnsi="Times New Roman"/>
          <w:b/>
          <w:bCs/>
          <w:sz w:val="24"/>
          <w:szCs w:val="24"/>
        </w:rPr>
        <w:t xml:space="preserve">3.1 </w:t>
      </w:r>
      <w:r>
        <w:rPr>
          <w:rFonts w:eastAsia="Times New Roman" w:cs="Times New Roman" w:ascii="Times New Roman" w:hAnsi="Times New Roman"/>
          <w:b/>
          <w:bCs/>
          <w:sz w:val="24"/>
          <w:szCs w:val="24"/>
        </w:rPr>
        <w:t xml:space="preserve">Feasibility and </w:t>
      </w:r>
      <w:r>
        <w:rPr>
          <w:rFonts w:eastAsia="Times New Roman" w:cs="Times New Roman" w:ascii="Times New Roman" w:hAnsi="Times New Roman"/>
          <w:b/>
          <w:bCs/>
          <w:sz w:val="24"/>
          <w:szCs w:val="24"/>
        </w:rPr>
        <w:t>d</w:t>
      </w:r>
      <w:r>
        <w:rPr>
          <w:rFonts w:eastAsia="Times New Roman" w:cs="Times New Roman" w:ascii="Times New Roman" w:hAnsi="Times New Roman"/>
          <w:b/>
          <w:bCs/>
          <w:sz w:val="24"/>
          <w:szCs w:val="24"/>
        </w:rPr>
        <w:t xml:space="preserve">ata </w:t>
      </w:r>
      <w:r>
        <w:rPr>
          <w:rFonts w:eastAsia="Times New Roman" w:cs="Times New Roman" w:ascii="Times New Roman" w:hAnsi="Times New Roman"/>
          <w:b/>
          <w:bCs/>
          <w:sz w:val="24"/>
          <w:szCs w:val="24"/>
        </w:rPr>
        <w:t>c</w:t>
      </w:r>
      <w:r>
        <w:rPr>
          <w:rFonts w:eastAsia="Times New Roman" w:cs="Times New Roman" w:ascii="Times New Roman" w:hAnsi="Times New Roman"/>
          <w:b/>
          <w:bCs/>
          <w:sz w:val="24"/>
          <w:szCs w:val="24"/>
        </w:rPr>
        <w:t>ompleteness</w:t>
      </w:r>
    </w:p>
    <w:p>
      <w:pPr>
        <w:pStyle w:val="Normal"/>
        <w:spacing w:lineRule="auto" w:line="480" w:before="0" w:after="200"/>
        <w:ind w:firstLine="720"/>
        <w:jc w:val="left"/>
        <w:rPr/>
      </w:pPr>
      <w:r>
        <w:rPr>
          <w:rFonts w:eastAsia="Times New Roman" w:cs="Times New Roman"/>
          <w:sz w:val="24"/>
          <w:szCs w:val="24"/>
        </w:rPr>
        <w:t>The full protocol was completed (4/4 trials). All planned variables were captured without missing values. The counterbalanced accuracy manipulation was successfully implemented as designed. Administration time was approximately five minutes, well within the attentional tolerance window for this age group.</w:t>
      </w:r>
    </w:p>
    <w:p>
      <w:pPr>
        <w:pStyle w:val="Heading2"/>
        <w:spacing w:lineRule="auto" w:line="480" w:before="360" w:after="200"/>
        <w:jc w:val="left"/>
        <w:rPr/>
      </w:pPr>
      <w:r>
        <w:rPr>
          <w:rFonts w:eastAsia="Times New Roman" w:cs="Times New Roman" w:ascii="Times New Roman" w:hAnsi="Times New Roman"/>
          <w:b/>
          <w:bCs/>
          <w:sz w:val="24"/>
          <w:szCs w:val="24"/>
        </w:rPr>
        <w:t>3. 2 T</w:t>
      </w:r>
      <w:r>
        <w:rPr>
          <w:rFonts w:eastAsia="Times New Roman" w:cs="Times New Roman" w:ascii="Times New Roman" w:hAnsi="Times New Roman"/>
          <w:b/>
          <w:bCs/>
          <w:sz w:val="24"/>
          <w:szCs w:val="24"/>
        </w:rPr>
        <w:t>rial-</w:t>
      </w:r>
      <w:r>
        <w:rPr>
          <w:rFonts w:eastAsia="Times New Roman" w:cs="Times New Roman" w:ascii="Times New Roman" w:hAnsi="Times New Roman"/>
          <w:b/>
          <w:bCs/>
          <w:sz w:val="24"/>
          <w:szCs w:val="24"/>
        </w:rPr>
        <w:t>l</w:t>
      </w:r>
      <w:r>
        <w:rPr>
          <w:rFonts w:eastAsia="Times New Roman" w:cs="Times New Roman" w:ascii="Times New Roman" w:hAnsi="Times New Roman"/>
          <w:b/>
          <w:bCs/>
          <w:sz w:val="24"/>
          <w:szCs w:val="24"/>
        </w:rPr>
        <w:t xml:space="preserve">evel </w:t>
      </w:r>
      <w:r>
        <w:rPr>
          <w:rFonts w:eastAsia="Times New Roman" w:cs="Times New Roman" w:ascii="Times New Roman" w:hAnsi="Times New Roman"/>
          <w:b/>
          <w:bCs/>
          <w:sz w:val="24"/>
          <w:szCs w:val="24"/>
        </w:rPr>
        <w:t>p</w:t>
      </w:r>
      <w:r>
        <w:rPr>
          <w:rFonts w:eastAsia="Times New Roman" w:cs="Times New Roman" w:ascii="Times New Roman" w:hAnsi="Times New Roman"/>
          <w:b/>
          <w:bCs/>
          <w:sz w:val="24"/>
          <w:szCs w:val="24"/>
        </w:rPr>
        <w:t>attern</w:t>
      </w:r>
    </w:p>
    <w:p>
      <w:pPr>
        <w:pStyle w:val="Normal"/>
        <w:spacing w:lineRule="auto" w:line="480" w:before="0" w:after="200"/>
        <w:ind w:firstLine="720"/>
        <w:jc w:val="left"/>
        <w:rPr/>
      </w:pPr>
      <w:r>
        <w:rPr>
          <w:rFonts w:eastAsia="Times New Roman" w:cs="Times New Roman"/>
          <w:sz w:val="24"/>
          <w:szCs w:val="24"/>
        </w:rPr>
        <w:t>The deference sequence across trials was: Robot (P1), Robot (P2), Caregiver (P3), Robot (P4). Hesitation—operationalized as a visible delay or gaze alternation between response cards—occurred only at P1. This trial-level trajectory is displayed in Figure 1.</w:t>
      </w:r>
    </w:p>
    <w:p>
      <w:pPr>
        <w:pStyle w:val="Normal"/>
        <w:spacing w:lineRule="auto" w:line="480" w:before="360" w:after="120"/>
        <w:jc w:val="center"/>
        <w:rPr/>
      </w:pPr>
      <w:r>
        <w:rPr/>
        <w:drawing>
          <wp:inline distT="0" distB="0" distL="0" distR="0">
            <wp:extent cx="5238750" cy="2514600"/>
            <wp:effectExtent l="0" t="0" r="0" b="0"/>
            <wp:docPr id="1" name="Figure 1. Trial-level response pattern across P1–P4. Markers indicate chosen informant (triangle = robot; circle = caregiver). Vertical bars are color-coded by condition (orange = boundary; teal = control). Bottom labels show segmentation and prediction correctness (✓ = correct; x = incorrect) and hesitation marker." descr="Figure 1. Trial-level response pattern across P1–P4. Markers indicate chosen informant (triangle = robot; circle = caregiver). Vertical bars are color-coded by condition (orange = boundary; teal = control). Bottom labels show segmentation and prediction correctness (✓ = correct; x = incorrect) and hesitation marker.&#10;Figure 1. Trial-level response pattern across P1–P4. Markers indicate chosen informant (triangle = robot; circle = caregiver). Vertical bars are color-coded by condition (orange = boundary; teal = control). Bottom labels show segmentation and prediction correctness (✓ = correct; x = incorrect) and hesitation mark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Figure 1. Trial-level response pattern across P1–P4. Markers indicate chosen informant (triangle = robot; circle = caregiver). Vertical bars are color-coded by condition (orange = boundary; teal = control). Bottom labels show segmentation and prediction correctness (✓ = correct; x = incorrect) and hesitation marker." descr="Figure 1. Trial-level response pattern across P1–P4. Markers indicate chosen informant (triangle = robot; circle = caregiver). Vertical bars are color-coded by condition (orange = boundary; teal = control). Bottom labels show segmentation and prediction correctness (✓ = correct; x = incorrect) and hesitation marker.&#10;Figure 1. Trial-level response pattern across P1–P4. Markers indicate chosen informant (triangle = robot; circle = caregiver). Vertical bars are color-coded by condition (orange = boundary; teal = control). Bottom labels show segmentation and prediction correctness (✓ = correct; x = incorrect) and hesitation marker."/>
                    <pic:cNvPicPr>
                      <a:picLocks noChangeAspect="1" noChangeArrowheads="1"/>
                    </pic:cNvPicPr>
                  </pic:nvPicPr>
                  <pic:blipFill>
                    <a:blip r:embed="rId2"/>
                    <a:stretch>
                      <a:fillRect/>
                    </a:stretch>
                  </pic:blipFill>
                  <pic:spPr bwMode="auto">
                    <a:xfrm>
                      <a:off x="0" y="0"/>
                      <a:ext cx="5238750" cy="2514600"/>
                    </a:xfrm>
                    <a:prstGeom prst="rect">
                      <a:avLst/>
                    </a:prstGeom>
                    <a:noFill/>
                  </pic:spPr>
                </pic:pic>
              </a:graphicData>
            </a:graphic>
          </wp:inline>
        </w:drawing>
      </w:r>
    </w:p>
    <w:p>
      <w:pPr>
        <w:pStyle w:val="Normal"/>
        <w:spacing w:lineRule="auto" w:line="480" w:before="0" w:after="360"/>
        <w:jc w:val="left"/>
        <w:rPr/>
      </w:pPr>
      <w:r>
        <w:rPr>
          <w:rFonts w:eastAsia="Times New Roman" w:cs="Times New Roman"/>
          <w:b/>
          <w:bCs/>
          <w:i/>
          <w:iCs/>
          <w:sz w:val="24"/>
          <w:szCs w:val="24"/>
        </w:rPr>
        <w:t>Figure 1.</w:t>
      </w:r>
      <w:r>
        <w:rPr>
          <w:rFonts w:eastAsia="Times New Roman" w:cs="Times New Roman"/>
          <w:sz w:val="24"/>
          <w:szCs w:val="24"/>
        </w:rPr>
        <w:t xml:space="preserve"> Trial-level response pattern across P1–P4. Markers indicate chosen informant (triangle = robot; circle = caregiver). Vertical bars are color-coded by condition (orange = boundary; teal = control). Bottom labels show segmentation and prediction correctness (✓ = correct; x = incorrect) and hesitation marker.</w:t>
      </w:r>
    </w:p>
    <w:p>
      <w:pPr>
        <w:pStyle w:val="Heading2"/>
        <w:spacing w:lineRule="auto" w:line="480" w:before="360" w:after="200"/>
        <w:jc w:val="left"/>
        <w:rPr/>
      </w:pPr>
      <w:r>
        <w:rPr>
          <w:rFonts w:eastAsia="Times New Roman" w:cs="Times New Roman" w:ascii="Times New Roman" w:hAnsi="Times New Roman"/>
          <w:b/>
          <w:bCs/>
          <w:sz w:val="24"/>
          <w:szCs w:val="24"/>
        </w:rPr>
        <w:t xml:space="preserve">3. 3 </w:t>
      </w:r>
      <w:r>
        <w:rPr>
          <w:rFonts w:eastAsia="Times New Roman" w:cs="Times New Roman" w:ascii="Times New Roman" w:hAnsi="Times New Roman"/>
          <w:b/>
          <w:bCs/>
          <w:sz w:val="24"/>
          <w:szCs w:val="24"/>
        </w:rPr>
        <w:t>Condition-</w:t>
      </w:r>
      <w:r>
        <w:rPr>
          <w:rFonts w:eastAsia="Times New Roman" w:cs="Times New Roman" w:ascii="Times New Roman" w:hAnsi="Times New Roman"/>
          <w:b/>
          <w:bCs/>
          <w:sz w:val="24"/>
          <w:szCs w:val="24"/>
        </w:rPr>
        <w:t>l</w:t>
      </w:r>
      <w:r>
        <w:rPr>
          <w:rFonts w:eastAsia="Times New Roman" w:cs="Times New Roman" w:ascii="Times New Roman" w:hAnsi="Times New Roman"/>
          <w:b/>
          <w:bCs/>
          <w:sz w:val="24"/>
          <w:szCs w:val="24"/>
        </w:rPr>
        <w:t xml:space="preserve">evel </w:t>
      </w:r>
      <w:r>
        <w:rPr>
          <w:rFonts w:eastAsia="Times New Roman" w:cs="Times New Roman" w:ascii="Times New Roman" w:hAnsi="Times New Roman"/>
          <w:b/>
          <w:bCs/>
          <w:sz w:val="24"/>
          <w:szCs w:val="24"/>
        </w:rPr>
        <w:t>o</w:t>
      </w:r>
      <w:r>
        <w:rPr>
          <w:rFonts w:eastAsia="Times New Roman" w:cs="Times New Roman" w:ascii="Times New Roman" w:hAnsi="Times New Roman"/>
          <w:b/>
          <w:bCs/>
          <w:sz w:val="24"/>
          <w:szCs w:val="24"/>
        </w:rPr>
        <w:t>utcomes</w:t>
      </w:r>
    </w:p>
    <w:p>
      <w:pPr>
        <w:pStyle w:val="Normal"/>
        <w:spacing w:lineRule="auto" w:line="480" w:before="0" w:after="200"/>
        <w:ind w:firstLine="720"/>
        <w:jc w:val="left"/>
        <w:rPr/>
      </w:pPr>
      <w:r>
        <w:rPr>
          <w:rFonts w:eastAsia="Times New Roman" w:cs="Times New Roman"/>
          <w:sz w:val="24"/>
          <w:szCs w:val="24"/>
        </w:rPr>
        <w:t>Overall robot choice was 3/4 = .75, 95% CI [.194, .994]. Robot choice at event boundaries was 1/2 = .50, 95% CI [.013, .987]; at control moments, 2/2 = 1.00, 95% CI [.158, 1.000]. The boundary deference effect was Δ</w:t>
      </w:r>
      <w:r>
        <w:rPr>
          <w:rFonts w:eastAsia="Times New Roman" w:cs="Times New Roman"/>
          <w:sz w:val="20"/>
          <w:szCs w:val="20"/>
          <w:vertAlign w:val="subscript"/>
        </w:rPr>
        <w:t>deference</w:t>
      </w:r>
      <w:r>
        <w:rPr>
          <w:rFonts w:eastAsia="Times New Roman" w:cs="Times New Roman"/>
          <w:sz w:val="24"/>
          <w:szCs w:val="24"/>
        </w:rPr>
        <w:t xml:space="preserve"> = –.50. These condition-level outcomes are summarized in Figure 2.</w:t>
      </w:r>
    </w:p>
    <w:p>
      <w:pPr>
        <w:pStyle w:val="Normal"/>
        <w:spacing w:lineRule="auto" w:line="480" w:before="360" w:after="120"/>
        <w:jc w:val="center"/>
        <w:rPr/>
      </w:pPr>
      <w:r>
        <w:rPr/>
        <w:drawing>
          <wp:inline distT="0" distB="0" distL="0" distR="0">
            <wp:extent cx="5238750" cy="2190750"/>
            <wp:effectExtent l="0" t="0" r="0" b="0"/>
            <wp:docPr id="2" name="Figure 2. Condition-level outcomes for prediction accuracy, robot choice rate, and segmentation accuracy, disaggregated by condition (control vs. boundary). Informant accuracy was counterbalanced: robot correct at boundaries, caregiver correct at controls." descr="Figure 2. Condition-level outcomes for prediction accuracy, robot choice rate, and segmentation accuracy, disaggregated by condition (control vs. boundary). Informant accuracy was counterbalanced: robot correct at boundaries, caregiver correct at controls.&#10;Figure 2. Condition-level outcomes for prediction accuracy, robot choice rate, and segmentation accuracy, disaggregated by condition (control vs. boundary). Informant accuracy was counterbalanced: robot correct at boundaries, caregiver correct at control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Figure 2. Condition-level outcomes for prediction accuracy, robot choice rate, and segmentation accuracy, disaggregated by condition (control vs. boundary). Informant accuracy was counterbalanced: robot correct at boundaries, caregiver correct at controls." descr="Figure 2. Condition-level outcomes for prediction accuracy, robot choice rate, and segmentation accuracy, disaggregated by condition (control vs. boundary). Informant accuracy was counterbalanced: robot correct at boundaries, caregiver correct at controls.&#10;Figure 2. Condition-level outcomes for prediction accuracy, robot choice rate, and segmentation accuracy, disaggregated by condition (control vs. boundary). Informant accuracy was counterbalanced: robot correct at boundaries, caregiver correct at controls."/>
                    <pic:cNvPicPr>
                      <a:picLocks noChangeAspect="1" noChangeArrowheads="1"/>
                    </pic:cNvPicPr>
                  </pic:nvPicPr>
                  <pic:blipFill>
                    <a:blip r:embed="rId3"/>
                    <a:stretch>
                      <a:fillRect/>
                    </a:stretch>
                  </pic:blipFill>
                  <pic:spPr bwMode="auto">
                    <a:xfrm>
                      <a:off x="0" y="0"/>
                      <a:ext cx="5238750" cy="2190750"/>
                    </a:xfrm>
                    <a:prstGeom prst="rect">
                      <a:avLst/>
                    </a:prstGeom>
                    <a:noFill/>
                  </pic:spPr>
                </pic:pic>
              </a:graphicData>
            </a:graphic>
          </wp:inline>
        </w:drawing>
      </w:r>
    </w:p>
    <w:p>
      <w:pPr>
        <w:pStyle w:val="Normal"/>
        <w:spacing w:lineRule="auto" w:line="480" w:before="0" w:after="360"/>
        <w:jc w:val="left"/>
        <w:rPr/>
      </w:pPr>
      <w:r>
        <w:rPr>
          <w:rFonts w:eastAsia="Times New Roman" w:cs="Times New Roman"/>
          <w:b/>
          <w:bCs/>
          <w:i/>
          <w:iCs/>
          <w:sz w:val="24"/>
          <w:szCs w:val="24"/>
        </w:rPr>
        <w:t>Figure 2.</w:t>
      </w:r>
      <w:r>
        <w:rPr>
          <w:rFonts w:eastAsia="Times New Roman" w:cs="Times New Roman"/>
          <w:sz w:val="24"/>
          <w:szCs w:val="24"/>
        </w:rPr>
        <w:t xml:space="preserve"> Condition-level outcomes for prediction accuracy, robot choice rate, and segmentation accuracy, disaggregated by condition (control vs. boundary). Informant accuracy was counterbalanced: robot correct at boundaries, caregiver correct at controls.</w:t>
      </w:r>
    </w:p>
    <w:p>
      <w:pPr>
        <w:pStyle w:val="Heading2"/>
        <w:spacing w:lineRule="auto" w:line="480" w:before="360" w:after="200"/>
        <w:jc w:val="left"/>
        <w:rPr/>
      </w:pPr>
      <w:r>
        <w:rPr>
          <w:rFonts w:eastAsia="Times New Roman" w:cs="Times New Roman" w:ascii="Times New Roman" w:hAnsi="Times New Roman"/>
          <w:b/>
          <w:bCs/>
          <w:sz w:val="24"/>
          <w:szCs w:val="24"/>
        </w:rPr>
        <w:t xml:space="preserve">3.4 </w:t>
      </w:r>
      <w:r>
        <w:rPr>
          <w:rFonts w:eastAsia="Times New Roman" w:cs="Times New Roman" w:ascii="Times New Roman" w:hAnsi="Times New Roman"/>
          <w:b/>
          <w:bCs/>
          <w:sz w:val="24"/>
          <w:szCs w:val="24"/>
        </w:rPr>
        <w:t xml:space="preserve">Temporal </w:t>
      </w:r>
      <w:r>
        <w:rPr>
          <w:rFonts w:eastAsia="Times New Roman" w:cs="Times New Roman" w:ascii="Times New Roman" w:hAnsi="Times New Roman"/>
          <w:b/>
          <w:bCs/>
          <w:sz w:val="24"/>
          <w:szCs w:val="24"/>
        </w:rPr>
        <w:t>p</w:t>
      </w:r>
      <w:r>
        <w:rPr>
          <w:rFonts w:eastAsia="Times New Roman" w:cs="Times New Roman" w:ascii="Times New Roman" w:hAnsi="Times New Roman"/>
          <w:b/>
          <w:bCs/>
          <w:sz w:val="24"/>
          <w:szCs w:val="24"/>
        </w:rPr>
        <w:t>rofile</w:t>
      </w:r>
    </w:p>
    <w:p>
      <w:pPr>
        <w:pStyle w:val="Normal"/>
        <w:spacing w:lineRule="auto" w:line="480" w:before="0" w:after="200"/>
        <w:ind w:firstLine="720"/>
        <w:jc w:val="left"/>
        <w:rPr/>
      </w:pPr>
      <w:r>
        <w:rPr>
          <w:rFonts w:eastAsia="Times New Roman" w:cs="Times New Roman"/>
          <w:sz w:val="24"/>
          <w:szCs w:val="24"/>
        </w:rPr>
        <w:t>Segmentation accuracy in the first half (P1–P2) was 2/2 = 1.00, 95% CI [.158, 1.000]; in the second half (P3–P4), 0/2 = .00, 95% CI [.000, .842]. Prediction accuracy followed an identical pattern: 1.00 in the first half, .00 in the second half. This complete first-to-second-half collapse, displayed in Figure 3, is consistent with attentional fatigue or disengagement in a four-pause sequence for this age group.</w:t>
      </w:r>
    </w:p>
    <w:p>
      <w:pPr>
        <w:pStyle w:val="Normal"/>
        <w:spacing w:lineRule="auto" w:line="480" w:before="360" w:after="120"/>
        <w:jc w:val="center"/>
        <w:rPr/>
      </w:pPr>
      <w:r>
        <w:rPr/>
        <w:drawing>
          <wp:inline distT="0" distB="0" distL="0" distR="0">
            <wp:extent cx="4762500" cy="2667000"/>
            <wp:effectExtent l="0" t="0" r="0" b="0"/>
            <wp:docPr id="3" name="Figure 3. Temporal profile of segmentation accuracy and prediction accuracy by session half. Both metrics dropped from perfect performance in the first half (P1–P2) to null performance in the second half (P3–P4), indicating attentional or fatigue contamination." descr="Figure 3. Temporal profile of segmentation accuracy and prediction accuracy by session half. Both metrics dropped from perfect performance in the first half (P1–P2) to null performance in the second half (P3–P4), indicating attentional or fatigue contamination.&#10;Figure 3. Temporal profile of segmentation accuracy and prediction accuracy by session half. Both metrics dropped from perfect performance in the first half (P1–P2) to null performance in the second half (P3–P4), indicating attentional or fatigue contamin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Figure 3. Temporal profile of segmentation accuracy and prediction accuracy by session half. Both metrics dropped from perfect performance in the first half (P1–P2) to null performance in the second half (P3–P4), indicating attentional or fatigue contamination." descr="Figure 3. Temporal profile of segmentation accuracy and prediction accuracy by session half. Both metrics dropped from perfect performance in the first half (P1–P2) to null performance in the second half (P3–P4), indicating attentional or fatigue contamination.&#10;Figure 3. Temporal profile of segmentation accuracy and prediction accuracy by session half. Both metrics dropped from perfect performance in the first half (P1–P2) to null performance in the second half (P3–P4), indicating attentional or fatigue contamination."/>
                    <pic:cNvPicPr>
                      <a:picLocks noChangeAspect="1" noChangeArrowheads="1"/>
                    </pic:cNvPicPr>
                  </pic:nvPicPr>
                  <pic:blipFill>
                    <a:blip r:embed="rId4"/>
                    <a:stretch>
                      <a:fillRect/>
                    </a:stretch>
                  </pic:blipFill>
                  <pic:spPr bwMode="auto">
                    <a:xfrm>
                      <a:off x="0" y="0"/>
                      <a:ext cx="4762500" cy="2667000"/>
                    </a:xfrm>
                    <a:prstGeom prst="rect">
                      <a:avLst/>
                    </a:prstGeom>
                    <a:noFill/>
                  </pic:spPr>
                </pic:pic>
              </a:graphicData>
            </a:graphic>
          </wp:inline>
        </w:drawing>
      </w:r>
    </w:p>
    <w:p>
      <w:pPr>
        <w:pStyle w:val="Normal"/>
        <w:spacing w:lineRule="auto" w:line="480" w:before="0" w:after="360"/>
        <w:jc w:val="left"/>
        <w:rPr/>
      </w:pPr>
      <w:r>
        <w:rPr>
          <w:rFonts w:eastAsia="Times New Roman" w:cs="Times New Roman"/>
          <w:b/>
          <w:bCs/>
          <w:i/>
          <w:iCs/>
          <w:sz w:val="24"/>
          <w:szCs w:val="24"/>
        </w:rPr>
        <w:t>Figure 3.</w:t>
      </w:r>
      <w:r>
        <w:rPr>
          <w:rFonts w:eastAsia="Times New Roman" w:cs="Times New Roman"/>
          <w:sz w:val="24"/>
          <w:szCs w:val="24"/>
        </w:rPr>
        <w:t xml:space="preserve"> Temporal profile of segmentation accuracy and prediction accuracy by session half. Both metrics dropped from perfect performance in the first half (P1–P2) to null performance in the second half (P3–P4), indicating attentional or fatigue contamination.</w:t>
      </w:r>
    </w:p>
    <w:p>
      <w:pPr>
        <w:pStyle w:val="Heading1"/>
        <w:spacing w:lineRule="auto" w:line="480" w:before="360" w:after="200"/>
        <w:jc w:val="left"/>
        <w:rPr/>
      </w:pPr>
      <w:r>
        <w:rPr>
          <w:rFonts w:eastAsia="Times New Roman" w:cs="Times New Roman" w:ascii="Times New Roman" w:hAnsi="Times New Roman"/>
          <w:b/>
          <w:bCs/>
          <w:sz w:val="24"/>
          <w:szCs w:val="24"/>
        </w:rPr>
        <w:t xml:space="preserve">4. </w:t>
      </w:r>
      <w:r>
        <w:rPr>
          <w:rFonts w:eastAsia="Times New Roman" w:cs="Times New Roman" w:ascii="Times New Roman" w:hAnsi="Times New Roman"/>
          <w:b/>
          <w:bCs/>
          <w:sz w:val="24"/>
          <w:szCs w:val="24"/>
        </w:rPr>
        <w:t>Discussion</w:t>
      </w:r>
    </w:p>
    <w:p>
      <w:pPr>
        <w:pStyle w:val="Heading2"/>
        <w:spacing w:lineRule="auto" w:line="480" w:before="360" w:after="200"/>
        <w:jc w:val="left"/>
        <w:rPr/>
      </w:pPr>
      <w:r>
        <w:rPr>
          <w:rFonts w:eastAsia="Times New Roman" w:cs="Times New Roman" w:ascii="Times New Roman" w:hAnsi="Times New Roman"/>
          <w:b/>
          <w:bCs/>
          <w:sz w:val="24"/>
          <w:szCs w:val="24"/>
        </w:rPr>
        <w:t xml:space="preserve">4.1. </w:t>
      </w:r>
      <w:r>
        <w:rPr>
          <w:rFonts w:eastAsia="Times New Roman" w:cs="Times New Roman" w:ascii="Times New Roman" w:hAnsi="Times New Roman"/>
          <w:b/>
          <w:bCs/>
          <w:sz w:val="24"/>
          <w:szCs w:val="24"/>
        </w:rPr>
        <w:t xml:space="preserve">Summary of </w:t>
      </w:r>
      <w:r>
        <w:rPr>
          <w:rFonts w:eastAsia="Times New Roman" w:cs="Times New Roman" w:ascii="Times New Roman" w:hAnsi="Times New Roman"/>
          <w:b/>
          <w:bCs/>
          <w:sz w:val="24"/>
          <w:szCs w:val="24"/>
        </w:rPr>
        <w:t>f</w:t>
      </w:r>
      <w:r>
        <w:rPr>
          <w:rFonts w:eastAsia="Times New Roman" w:cs="Times New Roman" w:ascii="Times New Roman" w:hAnsi="Times New Roman"/>
          <w:b/>
          <w:bCs/>
          <w:sz w:val="24"/>
          <w:szCs w:val="24"/>
        </w:rPr>
        <w:t>indings</w:t>
      </w:r>
    </w:p>
    <w:p>
      <w:pPr>
        <w:pStyle w:val="Normal"/>
        <w:spacing w:lineRule="auto" w:line="480" w:before="0" w:after="200"/>
        <w:ind w:firstLine="720"/>
        <w:jc w:val="left"/>
        <w:rPr/>
      </w:pPr>
      <w:r>
        <w:rPr>
          <w:rFonts w:eastAsia="Times New Roman" w:cs="Times New Roman"/>
          <w:sz w:val="24"/>
          <w:szCs w:val="24"/>
        </w:rPr>
        <w:t xml:space="preserve">This pilot did not support the original directional hypothesis that AI deference would increase at event boundaries. The observed boundary deference effect was negative (Δ = –.50), with the child choosing the robot </w:t>
      </w:r>
      <w:r>
        <w:rPr>
          <w:rFonts w:eastAsia="Times New Roman" w:cs="Times New Roman"/>
          <w:i/>
          <w:iCs/>
          <w:sz w:val="24"/>
          <w:szCs w:val="24"/>
        </w:rPr>
        <w:t>less</w:t>
      </w:r>
      <w:r>
        <w:rPr>
          <w:rFonts w:eastAsia="Times New Roman" w:cs="Times New Roman"/>
          <w:sz w:val="24"/>
          <w:szCs w:val="24"/>
        </w:rPr>
        <w:t xml:space="preserve"> at boundaries than at control moments. Nevertheless, the pilot generated diagnostic evidence that is essential for theory refinement and design correction prior to a confirmatory study.</w:t>
      </w:r>
    </w:p>
    <w:p>
      <w:pPr>
        <w:pStyle w:val="Heading2"/>
        <w:spacing w:lineRule="auto" w:line="480" w:before="360" w:after="200"/>
        <w:jc w:val="left"/>
        <w:rPr/>
      </w:pPr>
      <w:r>
        <w:rPr>
          <w:rFonts w:eastAsia="Times New Roman" w:cs="Times New Roman" w:ascii="Times New Roman" w:hAnsi="Times New Roman"/>
          <w:b/>
          <w:bCs/>
          <w:sz w:val="24"/>
          <w:szCs w:val="24"/>
        </w:rPr>
        <w:t xml:space="preserve">4.2. </w:t>
      </w:r>
      <w:r>
        <w:rPr>
          <w:rFonts w:eastAsia="Times New Roman" w:cs="Times New Roman" w:ascii="Times New Roman" w:hAnsi="Times New Roman"/>
          <w:b/>
          <w:bCs/>
          <w:sz w:val="24"/>
          <w:szCs w:val="24"/>
        </w:rPr>
        <w:t xml:space="preserve">Mechanistic </w:t>
      </w:r>
      <w:r>
        <w:rPr>
          <w:rFonts w:eastAsia="Times New Roman" w:cs="Times New Roman" w:ascii="Times New Roman" w:hAnsi="Times New Roman"/>
          <w:b/>
          <w:bCs/>
          <w:sz w:val="24"/>
          <w:szCs w:val="24"/>
        </w:rPr>
        <w:t>i</w:t>
      </w:r>
      <w:r>
        <w:rPr>
          <w:rFonts w:eastAsia="Times New Roman" w:cs="Times New Roman" w:ascii="Times New Roman" w:hAnsi="Times New Roman"/>
          <w:b/>
          <w:bCs/>
          <w:sz w:val="24"/>
          <w:szCs w:val="24"/>
        </w:rPr>
        <w:t>nterpretation</w:t>
      </w:r>
    </w:p>
    <w:p>
      <w:pPr>
        <w:pStyle w:val="Normal"/>
        <w:spacing w:lineRule="auto" w:line="480" w:before="0" w:after="200"/>
        <w:ind w:firstLine="720"/>
        <w:jc w:val="left"/>
        <w:rPr/>
      </w:pPr>
      <w:r>
        <w:rPr>
          <w:rFonts w:eastAsia="Times New Roman" w:cs="Times New Roman"/>
          <w:sz w:val="24"/>
          <w:szCs w:val="24"/>
        </w:rPr>
        <w:t>Four patterns from the trial-level data warrant theoretical attention.</w:t>
      </w:r>
    </w:p>
    <w:p>
      <w:pPr>
        <w:pStyle w:val="Normal"/>
        <w:spacing w:lineRule="auto" w:line="480" w:before="0" w:after="200"/>
        <w:ind w:firstLine="720"/>
        <w:jc w:val="left"/>
        <w:rPr/>
      </w:pPr>
      <w:r>
        <w:rPr>
          <w:rFonts w:eastAsia="Times New Roman" w:cs="Times New Roman"/>
          <w:b w:val="false"/>
          <w:bCs w:val="false"/>
          <w:i/>
          <w:iCs/>
          <w:sz w:val="24"/>
          <w:szCs w:val="24"/>
        </w:rPr>
        <w:t>(1)</w:t>
      </w:r>
      <w:r>
        <w:rPr>
          <w:rFonts w:eastAsia="Times New Roman" w:cs="Times New Roman"/>
          <w:b/>
          <w:bCs/>
          <w:sz w:val="24"/>
          <w:szCs w:val="24"/>
        </w:rPr>
        <w:t xml:space="preserve"> </w:t>
      </w:r>
      <w:r>
        <w:rPr>
          <w:rFonts w:eastAsia="Times New Roman" w:cs="Times New Roman"/>
          <w:b w:val="false"/>
          <w:bCs w:val="false"/>
          <w:i/>
          <w:iCs/>
          <w:sz w:val="24"/>
          <w:szCs w:val="24"/>
        </w:rPr>
        <w:t>Baseline novelty attraction</w:t>
      </w:r>
      <w:r>
        <w:rPr>
          <w:rFonts w:eastAsia="Times New Roman" w:cs="Times New Roman"/>
          <w:b/>
          <w:bCs/>
          <w:sz w:val="24"/>
          <w:szCs w:val="24"/>
        </w:rPr>
        <w:t xml:space="preserve">. </w:t>
      </w:r>
      <w:r>
        <w:rPr>
          <w:rFonts w:eastAsia="Times New Roman" w:cs="Times New Roman"/>
          <w:sz w:val="24"/>
          <w:szCs w:val="24"/>
        </w:rPr>
        <w:t>The child chose the robot in 3 of 4 trials, consistent with the well-documented novelty bias that preschoolers exhibit toward robotic and AI agents (Kahn et al., 2012). This baseline preference complicates the interpretation of any boundary-specific effect, because ceiling-level robot choice in one condition leaves little room for a directional contrast. A brief familiarization phase in the confirmatory design should attenuate this inflation.</w:t>
      </w:r>
    </w:p>
    <w:p>
      <w:pPr>
        <w:pStyle w:val="Normal"/>
        <w:spacing w:lineRule="auto" w:line="480" w:before="0" w:after="200"/>
        <w:ind w:firstLine="720"/>
        <w:jc w:val="left"/>
        <w:rPr/>
      </w:pPr>
      <w:r>
        <w:rPr>
          <w:rFonts w:eastAsia="Times New Roman" w:cs="Times New Roman"/>
          <w:b w:val="false"/>
          <w:bCs w:val="false"/>
          <w:i/>
          <w:iCs/>
          <w:sz w:val="24"/>
          <w:szCs w:val="24"/>
        </w:rPr>
        <w:t xml:space="preserve">(2) </w:t>
      </w:r>
      <w:r>
        <w:rPr>
          <w:rFonts w:eastAsia="Times New Roman" w:cs="Times New Roman"/>
          <w:b w:val="false"/>
          <w:bCs w:val="false"/>
          <w:i/>
          <w:iCs/>
          <w:sz w:val="24"/>
          <w:szCs w:val="24"/>
        </w:rPr>
        <w:t>Recency-weighted reliability tracking.</w:t>
      </w:r>
      <w:r>
        <w:rPr>
          <w:rFonts w:eastAsia="Times New Roman" w:cs="Times New Roman"/>
          <w:b/>
          <w:bCs/>
          <w:sz w:val="24"/>
          <w:szCs w:val="24"/>
        </w:rPr>
        <w:t xml:space="preserve"> </w:t>
      </w:r>
      <w:r>
        <w:rPr>
          <w:rFonts w:eastAsia="Times New Roman" w:cs="Times New Roman"/>
          <w:sz w:val="24"/>
          <w:szCs w:val="24"/>
        </w:rPr>
        <w:t>The single caregiver choice occurred at P3, immediately after the child had observed the robot give an incorrect prediction at P1 (visible after P1 outcome feedback). This is consistent with short-horizon reliability weighting: the child may have updated her informant model based on the most recent error rather than cumulative accuracy (Corriveau &amp; Harris, 2009). Such recency effects are well-documented in the selective trust literature and pose a specific confound that the between-subjects confirmatory design must address.</w:t>
      </w:r>
    </w:p>
    <w:p>
      <w:pPr>
        <w:pStyle w:val="Normal"/>
        <w:spacing w:lineRule="auto" w:line="480" w:before="0" w:after="200"/>
        <w:ind w:firstLine="720"/>
        <w:jc w:val="left"/>
        <w:rPr/>
      </w:pPr>
      <w:r>
        <w:rPr>
          <w:rFonts w:eastAsia="Times New Roman" w:cs="Times New Roman"/>
          <w:b w:val="false"/>
          <w:bCs w:val="false"/>
          <w:i/>
          <w:iCs/>
          <w:sz w:val="24"/>
          <w:szCs w:val="24"/>
        </w:rPr>
        <w:t>(</w:t>
      </w:r>
      <w:r>
        <w:rPr>
          <w:rFonts w:eastAsia="Times New Roman" w:cs="Times New Roman"/>
          <w:b w:val="false"/>
          <w:bCs w:val="false"/>
          <w:i/>
          <w:iCs/>
          <w:sz w:val="24"/>
          <w:szCs w:val="24"/>
        </w:rPr>
        <w:t>3</w:t>
      </w:r>
      <w:r>
        <w:rPr>
          <w:rFonts w:eastAsia="Times New Roman" w:cs="Times New Roman"/>
          <w:b w:val="false"/>
          <w:bCs w:val="false"/>
          <w:i/>
          <w:iCs/>
          <w:sz w:val="24"/>
          <w:szCs w:val="24"/>
        </w:rPr>
        <w:t xml:space="preserve">) </w:t>
      </w:r>
      <w:r>
        <w:rPr>
          <w:rFonts w:eastAsia="Times New Roman" w:cs="Times New Roman"/>
          <w:b w:val="false"/>
          <w:bCs w:val="false"/>
          <w:i/>
          <w:iCs/>
          <w:sz w:val="24"/>
          <w:szCs w:val="24"/>
        </w:rPr>
        <w:t>Temporal degradation of cognitive engagement.</w:t>
      </w:r>
      <w:r>
        <w:rPr>
          <w:rFonts w:eastAsia="Times New Roman" w:cs="Times New Roman"/>
          <w:b/>
          <w:bCs/>
          <w:sz w:val="24"/>
          <w:szCs w:val="24"/>
        </w:rPr>
        <w:t xml:space="preserve"> </w:t>
      </w:r>
      <w:r>
        <w:rPr>
          <w:rFonts w:eastAsia="Times New Roman" w:cs="Times New Roman"/>
          <w:sz w:val="24"/>
          <w:szCs w:val="24"/>
        </w:rPr>
        <w:t>The abrupt collapse of both segmentation and prediction accuracy from perfect in the first half to null in the second half signals attentional fatigue. This is a serious validity threat: if the child is disengaged during P3–P4, deference choices in those trials cannot be meaningfully interpreted as reflecting epistemic processing. The confirmatory design should reduce to two pauses per child (one boundary, one control) to stay within the attentional envelope of 3-year-olds.</w:t>
      </w:r>
    </w:p>
    <w:p>
      <w:pPr>
        <w:pStyle w:val="Normal"/>
        <w:spacing w:lineRule="auto" w:line="480" w:before="0" w:after="200"/>
        <w:ind w:firstLine="720"/>
        <w:jc w:val="left"/>
        <w:rPr/>
      </w:pPr>
      <w:r>
        <w:rPr>
          <w:rFonts w:eastAsia="Times New Roman" w:cs="Times New Roman"/>
          <w:b w:val="false"/>
          <w:bCs w:val="false"/>
          <w:i/>
          <w:iCs/>
          <w:sz w:val="24"/>
          <w:szCs w:val="24"/>
        </w:rPr>
        <w:t xml:space="preserve">(4) </w:t>
      </w:r>
      <w:r>
        <w:rPr>
          <w:rFonts w:eastAsia="Times New Roman" w:cs="Times New Roman"/>
          <w:b w:val="false"/>
          <w:bCs w:val="false"/>
          <w:i/>
          <w:iCs/>
          <w:sz w:val="24"/>
          <w:szCs w:val="24"/>
        </w:rPr>
        <w:t>Epistemic conflict at first boundary</w:t>
      </w:r>
      <w:r>
        <w:rPr>
          <w:rFonts w:eastAsia="Times New Roman" w:cs="Times New Roman"/>
          <w:b/>
          <w:bCs/>
          <w:sz w:val="24"/>
          <w:szCs w:val="24"/>
        </w:rPr>
        <w:t xml:space="preserve">. </w:t>
      </w:r>
      <w:r>
        <w:rPr>
          <w:rFonts w:eastAsia="Times New Roman" w:cs="Times New Roman"/>
          <w:sz w:val="24"/>
          <w:szCs w:val="24"/>
        </w:rPr>
        <w:t>Hesitation occurred uniquely at P1, the first boundary exposure. This singular hesitation event is consistent with heightened epistemic conflict—a moment in which the child’s internal model was genuinely disrupted, and the deference decision carried subjective weight. The absence of hesitation in subsequent trials may reflect either resolution of the conflict or disengagement. In the confirmatory study, continuous latency coding should replace binary hesitation to capture graded conflict.</w:t>
      </w:r>
    </w:p>
    <w:p>
      <w:pPr>
        <w:pStyle w:val="Heading2"/>
        <w:spacing w:lineRule="auto" w:line="480" w:before="360" w:after="200"/>
        <w:jc w:val="left"/>
        <w:rPr/>
      </w:pPr>
      <w:r>
        <w:rPr>
          <w:rFonts w:eastAsia="Times New Roman" w:cs="Times New Roman" w:ascii="Times New Roman" w:hAnsi="Times New Roman"/>
          <w:b/>
          <w:bCs/>
          <w:sz w:val="24"/>
          <w:szCs w:val="24"/>
        </w:rPr>
        <w:t xml:space="preserve">4.3 </w:t>
      </w:r>
      <w:r>
        <w:rPr>
          <w:rFonts w:eastAsia="Times New Roman" w:cs="Times New Roman" w:ascii="Times New Roman" w:hAnsi="Times New Roman"/>
          <w:b/>
          <w:bCs/>
          <w:sz w:val="24"/>
          <w:szCs w:val="24"/>
        </w:rPr>
        <w:t>Toward a Refined Model of Epistemic Deference</w:t>
      </w:r>
    </w:p>
    <w:p>
      <w:pPr>
        <w:pStyle w:val="Normal"/>
        <w:spacing w:lineRule="auto" w:line="480" w:before="0" w:after="200"/>
        <w:ind w:firstLine="720"/>
        <w:jc w:val="left"/>
        <w:rPr/>
      </w:pPr>
      <w:r>
        <w:rPr>
          <w:rFonts w:eastAsia="Times New Roman" w:cs="Times New Roman"/>
          <w:sz w:val="24"/>
          <w:szCs w:val="24"/>
        </w:rPr>
        <w:t xml:space="preserve">The original hypothesis assumed a simple main effect of event boundaries on AI deference. The pilot data suggest that a more adequate model must incorporate at least three interacting processes: (a) </w:t>
      </w:r>
      <w:r>
        <w:rPr>
          <w:rFonts w:eastAsia="Times New Roman" w:cs="Times New Roman"/>
          <w:i/>
          <w:iCs/>
          <w:sz w:val="24"/>
          <w:szCs w:val="24"/>
        </w:rPr>
        <w:t>novelty salience</w:t>
      </w:r>
      <w:r>
        <w:rPr>
          <w:rFonts w:eastAsia="Times New Roman" w:cs="Times New Roman"/>
          <w:sz w:val="24"/>
          <w:szCs w:val="24"/>
        </w:rPr>
        <w:t xml:space="preserve">—the baseline attractiveness of a novel artificial agent; (b) </w:t>
      </w:r>
      <w:r>
        <w:rPr>
          <w:rFonts w:eastAsia="Times New Roman" w:cs="Times New Roman"/>
          <w:i/>
          <w:iCs/>
          <w:sz w:val="24"/>
          <w:szCs w:val="24"/>
        </w:rPr>
        <w:t>recency-weighted reliability memory</w:t>
      </w:r>
      <w:r>
        <w:rPr>
          <w:rFonts w:eastAsia="Times New Roman" w:cs="Times New Roman"/>
          <w:sz w:val="24"/>
          <w:szCs w:val="24"/>
        </w:rPr>
        <w:t xml:space="preserve">—the tendency to update informant trust based on the most recent outcome rather than cumulative accuracy; and (c) </w:t>
      </w:r>
      <w:r>
        <w:rPr>
          <w:rFonts w:eastAsia="Times New Roman" w:cs="Times New Roman"/>
          <w:i/>
          <w:iCs/>
          <w:sz w:val="24"/>
          <w:szCs w:val="24"/>
        </w:rPr>
        <w:t>subjective boundary detection</w:t>
      </w:r>
      <w:r>
        <w:rPr>
          <w:rFonts w:eastAsia="Times New Roman" w:cs="Times New Roman"/>
          <w:sz w:val="24"/>
          <w:szCs w:val="24"/>
        </w:rPr>
        <w:t>—the degree to which the child actually perceives a boundary, which may diverge from the experimenter’s structural coding. This refined model aligns with recent accounts of AI as epistemic infrastructure rather than mere tool (Chen, 2025), and with warnings about the erosion of epistemic vigilance when children engage with confident-sounding artificial agents (Jose &amp; Thomas, 2025; Sperber et al., 2010).</w:t>
      </w:r>
    </w:p>
    <w:p>
      <w:pPr>
        <w:pStyle w:val="Heading2"/>
        <w:spacing w:lineRule="auto" w:line="480" w:before="360" w:after="200"/>
        <w:jc w:val="left"/>
        <w:rPr/>
      </w:pPr>
      <w:r>
        <w:rPr>
          <w:rFonts w:eastAsia="Times New Roman" w:cs="Times New Roman" w:ascii="Times New Roman" w:hAnsi="Times New Roman"/>
          <w:b/>
          <w:bCs/>
          <w:sz w:val="24"/>
          <w:szCs w:val="24"/>
        </w:rPr>
        <w:t xml:space="preserve">4.4 </w:t>
      </w:r>
      <w:r>
        <w:rPr>
          <w:rFonts w:eastAsia="Times New Roman" w:cs="Times New Roman" w:ascii="Times New Roman" w:hAnsi="Times New Roman"/>
          <w:b/>
          <w:bCs/>
          <w:sz w:val="24"/>
          <w:szCs w:val="24"/>
        </w:rPr>
        <w:t xml:space="preserve">Scientific </w:t>
      </w:r>
      <w:r>
        <w:rPr>
          <w:rFonts w:eastAsia="Times New Roman" w:cs="Times New Roman" w:ascii="Times New Roman" w:hAnsi="Times New Roman"/>
          <w:b/>
          <w:bCs/>
          <w:sz w:val="24"/>
          <w:szCs w:val="24"/>
        </w:rPr>
        <w:t>v</w:t>
      </w:r>
      <w:r>
        <w:rPr>
          <w:rFonts w:eastAsia="Times New Roman" w:cs="Times New Roman" w:ascii="Times New Roman" w:hAnsi="Times New Roman"/>
          <w:b/>
          <w:bCs/>
          <w:sz w:val="24"/>
          <w:szCs w:val="24"/>
        </w:rPr>
        <w:t xml:space="preserve">alidity of a </w:t>
      </w:r>
      <w:r>
        <w:rPr>
          <w:rFonts w:eastAsia="Times New Roman" w:cs="Times New Roman" w:ascii="Times New Roman" w:hAnsi="Times New Roman"/>
          <w:b/>
          <w:bCs/>
          <w:sz w:val="24"/>
          <w:szCs w:val="24"/>
        </w:rPr>
        <w:t>s</w:t>
      </w:r>
      <w:r>
        <w:rPr>
          <w:rFonts w:eastAsia="Times New Roman" w:cs="Times New Roman" w:ascii="Times New Roman" w:hAnsi="Times New Roman"/>
          <w:b/>
          <w:bCs/>
          <w:sz w:val="24"/>
          <w:szCs w:val="24"/>
        </w:rPr>
        <w:t>ingle-</w:t>
      </w:r>
      <w:r>
        <w:rPr>
          <w:rFonts w:eastAsia="Times New Roman" w:cs="Times New Roman" w:ascii="Times New Roman" w:hAnsi="Times New Roman"/>
          <w:b/>
          <w:bCs/>
          <w:sz w:val="24"/>
          <w:szCs w:val="24"/>
        </w:rPr>
        <w:t>c</w:t>
      </w:r>
      <w:r>
        <w:rPr>
          <w:rFonts w:eastAsia="Times New Roman" w:cs="Times New Roman" w:ascii="Times New Roman" w:hAnsi="Times New Roman"/>
          <w:b/>
          <w:bCs/>
          <w:sz w:val="24"/>
          <w:szCs w:val="24"/>
        </w:rPr>
        <w:t xml:space="preserve">ase </w:t>
      </w:r>
      <w:r>
        <w:rPr>
          <w:rFonts w:eastAsia="Times New Roman" w:cs="Times New Roman" w:ascii="Times New Roman" w:hAnsi="Times New Roman"/>
          <w:b/>
          <w:bCs/>
          <w:sz w:val="24"/>
          <w:szCs w:val="24"/>
        </w:rPr>
        <w:t>p</w:t>
      </w:r>
      <w:r>
        <w:rPr>
          <w:rFonts w:eastAsia="Times New Roman" w:cs="Times New Roman" w:ascii="Times New Roman" w:hAnsi="Times New Roman"/>
          <w:b/>
          <w:bCs/>
          <w:sz w:val="24"/>
          <w:szCs w:val="24"/>
        </w:rPr>
        <w:t>roof-of-</w:t>
      </w:r>
      <w:r>
        <w:rPr>
          <w:rFonts w:eastAsia="Times New Roman" w:cs="Times New Roman" w:ascii="Times New Roman" w:hAnsi="Times New Roman"/>
          <w:b/>
          <w:bCs/>
          <w:sz w:val="24"/>
          <w:szCs w:val="24"/>
        </w:rPr>
        <w:t>c</w:t>
      </w:r>
      <w:r>
        <w:rPr>
          <w:rFonts w:eastAsia="Times New Roman" w:cs="Times New Roman" w:ascii="Times New Roman" w:hAnsi="Times New Roman"/>
          <w:b/>
          <w:bCs/>
          <w:sz w:val="24"/>
          <w:szCs w:val="24"/>
        </w:rPr>
        <w:t>oncept</w:t>
      </w:r>
    </w:p>
    <w:p>
      <w:pPr>
        <w:pStyle w:val="Normal"/>
        <w:spacing w:lineRule="auto" w:line="480" w:before="0" w:after="200"/>
        <w:ind w:firstLine="720"/>
        <w:jc w:val="left"/>
        <w:rPr/>
      </w:pPr>
      <w:r>
        <w:rPr>
          <w:rFonts w:eastAsia="Times New Roman" w:cs="Times New Roman"/>
          <w:sz w:val="24"/>
          <w:szCs w:val="24"/>
        </w:rPr>
        <w:t xml:space="preserve">The validity claim of this study is narrow and explicit: it supports procedural and diagnostic validity, not population validity. What is validly established includes: (a) </w:t>
      </w:r>
      <w:r>
        <w:rPr>
          <w:rFonts w:eastAsia="Times New Roman" w:cs="Times New Roman"/>
          <w:i/>
          <w:iCs/>
          <w:sz w:val="24"/>
          <w:szCs w:val="24"/>
        </w:rPr>
        <w:t>operational validity</w:t>
      </w:r>
      <w:r>
        <w:rPr>
          <w:rFonts w:eastAsia="Times New Roman" w:cs="Times New Roman"/>
          <w:sz w:val="24"/>
          <w:szCs w:val="24"/>
        </w:rPr>
        <w:t xml:space="preserve">—the paradigm can be implemented end-to-end in a domestic setting with a 3-year-old; (b) </w:t>
      </w:r>
      <w:r>
        <w:rPr>
          <w:rFonts w:eastAsia="Times New Roman" w:cs="Times New Roman"/>
          <w:i/>
          <w:iCs/>
          <w:sz w:val="24"/>
          <w:szCs w:val="24"/>
        </w:rPr>
        <w:t>measurement validity</w:t>
      </w:r>
      <w:r>
        <w:rPr>
          <w:rFonts w:eastAsia="Times New Roman" w:cs="Times New Roman"/>
          <w:sz w:val="24"/>
          <w:szCs w:val="24"/>
        </w:rPr>
        <w:t xml:space="preserve">—all three behavioral channels (segmentation, prediction, deference) and the hesitation marker can be captured at trial resolution; (c) </w:t>
      </w:r>
      <w:r>
        <w:rPr>
          <w:rFonts w:eastAsia="Times New Roman" w:cs="Times New Roman"/>
          <w:i/>
          <w:iCs/>
          <w:sz w:val="24"/>
          <w:szCs w:val="24"/>
        </w:rPr>
        <w:t>manipulation validity</w:t>
      </w:r>
      <w:r>
        <w:rPr>
          <w:rFonts w:eastAsia="Times New Roman" w:cs="Times New Roman"/>
          <w:sz w:val="24"/>
          <w:szCs w:val="24"/>
        </w:rPr>
        <w:t xml:space="preserve">—the counterbalanced informant-accuracy structure can be executed as designed; and (d) </w:t>
      </w:r>
      <w:r>
        <w:rPr>
          <w:rFonts w:eastAsia="Times New Roman" w:cs="Times New Roman"/>
          <w:i/>
          <w:iCs/>
          <w:sz w:val="24"/>
          <w:szCs w:val="24"/>
        </w:rPr>
        <w:t>mechanism discovery value</w:t>
      </w:r>
      <w:r>
        <w:rPr>
          <w:rFonts w:eastAsia="Times New Roman" w:cs="Times New Roman"/>
          <w:sz w:val="24"/>
          <w:szCs w:val="24"/>
        </w:rPr>
        <w:t>—trial-level trajectories reveal concrete confounds (fatigue, novelty, recency) that would remain invisible in aggregate-only reporting.</w:t>
      </w:r>
    </w:p>
    <w:p>
      <w:pPr>
        <w:pStyle w:val="Normal"/>
        <w:spacing w:lineRule="auto" w:line="480" w:before="0" w:after="200"/>
        <w:ind w:firstLine="720"/>
        <w:jc w:val="left"/>
        <w:rPr/>
      </w:pPr>
      <w:r>
        <w:rPr>
          <w:rFonts w:eastAsia="Times New Roman" w:cs="Times New Roman"/>
          <w:sz w:val="24"/>
          <w:szCs w:val="24"/>
        </w:rPr>
        <w:t>What is explicitly not claimed: no population prevalence estimate, no confirmatory test of the original hypothesis, and no stable effect-size inference. This inferential boundary is methodologically necessary. Proof-of-concept work answers a different question from confirmatory work: “Does the design function, and which nuisance processes dominate?” versus “What is the population-level effect under preregistered inference?” (Leon et al., 2011). The present pilot answers the former and prepares the ground for the latter.</w:t>
      </w:r>
    </w:p>
    <w:p>
      <w:pPr>
        <w:pStyle w:val="Heading2"/>
        <w:spacing w:lineRule="auto" w:line="480" w:before="360" w:after="200"/>
        <w:jc w:val="left"/>
        <w:rPr/>
      </w:pPr>
      <w:r>
        <w:rPr>
          <w:rFonts w:eastAsia="Times New Roman" w:cs="Times New Roman" w:ascii="Times New Roman" w:hAnsi="Times New Roman"/>
          <w:b/>
          <w:bCs/>
          <w:sz w:val="24"/>
          <w:szCs w:val="24"/>
        </w:rPr>
        <w:t xml:space="preserve">4.5 </w:t>
      </w:r>
      <w:r>
        <w:rPr>
          <w:rFonts w:eastAsia="Times New Roman" w:cs="Times New Roman" w:ascii="Times New Roman" w:hAnsi="Times New Roman"/>
          <w:b/>
          <w:bCs/>
          <w:sz w:val="24"/>
          <w:szCs w:val="24"/>
        </w:rPr>
        <w:t>Limitations</w:t>
      </w:r>
    </w:p>
    <w:p>
      <w:pPr>
        <w:pStyle w:val="Normal"/>
        <w:spacing w:lineRule="auto" w:line="480" w:before="0" w:after="200"/>
        <w:ind w:firstLine="720"/>
        <w:jc w:val="left"/>
        <w:rPr/>
      </w:pPr>
      <w:r>
        <w:rPr>
          <w:rFonts w:eastAsia="Times New Roman" w:cs="Times New Roman"/>
          <w:sz w:val="24"/>
          <w:szCs w:val="24"/>
        </w:rPr>
        <w:t>The principal limitations of this pilot are threefold. First, the single-participant design precludes any external generalizability. Second, the fixed within-session order induces confounding by fatigue and recency that cannot be disentangled from condition effects. Third, hesitation was coded as a binary variable; continuous response latency was not measured, limiting sensitivity to graded epistemic conflict.</w:t>
      </w:r>
    </w:p>
    <w:p>
      <w:pPr>
        <w:pStyle w:val="Heading2"/>
        <w:spacing w:lineRule="auto" w:line="480" w:before="360" w:after="200"/>
        <w:jc w:val="left"/>
        <w:rPr/>
      </w:pPr>
      <w:r>
        <w:rPr>
          <w:rFonts w:eastAsia="Times New Roman" w:cs="Times New Roman" w:ascii="Times New Roman" w:hAnsi="Times New Roman"/>
          <w:b/>
          <w:bCs/>
          <w:sz w:val="24"/>
          <w:szCs w:val="24"/>
        </w:rPr>
        <w:t xml:space="preserve">4.6 </w:t>
      </w:r>
      <w:r>
        <w:rPr>
          <w:rFonts w:eastAsia="Times New Roman" w:cs="Times New Roman" w:ascii="Times New Roman" w:hAnsi="Times New Roman"/>
          <w:b/>
          <w:bCs/>
          <w:sz w:val="24"/>
          <w:szCs w:val="24"/>
        </w:rPr>
        <w:t xml:space="preserve">Confirmatory </w:t>
      </w:r>
      <w:r>
        <w:rPr>
          <w:rFonts w:eastAsia="Times New Roman" w:cs="Times New Roman" w:ascii="Times New Roman" w:hAnsi="Times New Roman"/>
          <w:b/>
          <w:bCs/>
          <w:sz w:val="24"/>
          <w:szCs w:val="24"/>
        </w:rPr>
        <w:t>n</w:t>
      </w:r>
      <w:r>
        <w:rPr>
          <w:rFonts w:eastAsia="Times New Roman" w:cs="Times New Roman" w:ascii="Times New Roman" w:hAnsi="Times New Roman"/>
          <w:b/>
          <w:bCs/>
          <w:sz w:val="24"/>
          <w:szCs w:val="24"/>
        </w:rPr>
        <w:t xml:space="preserve">ext </w:t>
      </w:r>
      <w:r>
        <w:rPr>
          <w:rFonts w:eastAsia="Times New Roman" w:cs="Times New Roman" w:ascii="Times New Roman" w:hAnsi="Times New Roman"/>
          <w:b/>
          <w:bCs/>
          <w:sz w:val="24"/>
          <w:szCs w:val="24"/>
        </w:rPr>
        <w:t>s</w:t>
      </w:r>
      <w:r>
        <w:rPr>
          <w:rFonts w:eastAsia="Times New Roman" w:cs="Times New Roman" w:ascii="Times New Roman" w:hAnsi="Times New Roman"/>
          <w:b/>
          <w:bCs/>
          <w:sz w:val="24"/>
          <w:szCs w:val="24"/>
        </w:rPr>
        <w:t>tep</w:t>
      </w:r>
    </w:p>
    <w:p>
      <w:pPr>
        <w:pStyle w:val="Normal"/>
        <w:spacing w:lineRule="auto" w:line="480" w:before="0" w:after="200"/>
        <w:ind w:firstLine="720"/>
        <w:jc w:val="left"/>
        <w:rPr/>
      </w:pPr>
      <w:r>
        <w:rPr>
          <w:rFonts w:eastAsia="Times New Roman" w:cs="Times New Roman"/>
          <w:sz w:val="24"/>
          <w:szCs w:val="24"/>
        </w:rPr>
        <w:t xml:space="preserve">A scaled confirmatory design should incorporate: (a) a between-subjects structure with two pauses per child (one boundary, one control), eliminating within-session order and fatigue confounds; (b) a brief pre-task robot familiarization phase to attenuate novelty inflation; (c) continuous latency coding alongside binary deference choice as primary and secondary outcomes; (d) preregistered hypotheses and a fully specified analytic plan deposited on OSF prior to data collection; and (e) a target sample of approximately </w:t>
      </w:r>
      <w:r>
        <w:rPr>
          <w:rFonts w:eastAsia="Times New Roman" w:cs="Times New Roman"/>
          <w:i/>
          <w:iCs/>
          <w:sz w:val="24"/>
          <w:szCs w:val="24"/>
        </w:rPr>
        <w:t>N</w:t>
      </w:r>
      <w:r>
        <w:rPr>
          <w:rFonts w:eastAsia="Times New Roman" w:cs="Times New Roman"/>
          <w:sz w:val="24"/>
          <w:szCs w:val="24"/>
        </w:rPr>
        <w:t xml:space="preserve"> = 130 (approximately 65 per condition), based on power analysis for the primary binary endpoint.</w:t>
      </w:r>
    </w:p>
    <w:p>
      <w:pPr>
        <w:pStyle w:val="Heading1"/>
        <w:spacing w:lineRule="auto" w:line="480" w:before="360" w:after="200"/>
        <w:jc w:val="left"/>
        <w:rPr/>
      </w:pPr>
      <w:r>
        <w:rPr>
          <w:rFonts w:eastAsia="Times New Roman" w:cs="Times New Roman" w:ascii="Times New Roman" w:hAnsi="Times New Roman"/>
          <w:b/>
          <w:bCs/>
          <w:sz w:val="24"/>
          <w:szCs w:val="24"/>
        </w:rPr>
        <w:t xml:space="preserve">5. </w:t>
      </w:r>
      <w:r>
        <w:rPr>
          <w:rFonts w:eastAsia="Times New Roman" w:cs="Times New Roman" w:ascii="Times New Roman" w:hAnsi="Times New Roman"/>
          <w:b/>
          <w:bCs/>
          <w:sz w:val="24"/>
          <w:szCs w:val="24"/>
        </w:rPr>
        <w:t>Conclusion</w:t>
      </w:r>
    </w:p>
    <w:p>
      <w:pPr>
        <w:pStyle w:val="Normal"/>
        <w:spacing w:lineRule="auto" w:line="480" w:before="0" w:after="200"/>
        <w:ind w:firstLine="720"/>
        <w:jc w:val="left"/>
        <w:rPr/>
      </w:pPr>
      <w:r>
        <w:rPr>
          <w:rFonts w:eastAsia="Times New Roman" w:cs="Times New Roman"/>
          <w:sz w:val="24"/>
          <w:szCs w:val="24"/>
        </w:rPr>
        <w:t xml:space="preserve">As a proof-of-concept pilot, this </w:t>
      </w:r>
      <w:r>
        <w:rPr>
          <w:rFonts w:eastAsia="Times New Roman" w:cs="Times New Roman"/>
          <w:i/>
          <w:iCs/>
          <w:sz w:val="24"/>
          <w:szCs w:val="24"/>
        </w:rPr>
        <w:t>N</w:t>
      </w:r>
      <w:r>
        <w:rPr>
          <w:rFonts w:eastAsia="Times New Roman" w:cs="Times New Roman"/>
          <w:sz w:val="24"/>
          <w:szCs w:val="24"/>
        </w:rPr>
        <w:t xml:space="preserve"> = 1 study is scientifically valid within explicit inferential boundaries. Its contribution is not a population claim but the rigorous validation of a novel paradigm, the identification of dominant confounds, and the specification of a refined theoretical model. In an era in which generative AI is increasingly embedded in children’s epistemic environments (Jose, B. et al., 2025; Gerlich, 2025), understanding the conditions under which young children defer to artificial informants is both a developmental and a societal imperative. The present work provides the methodological foundation for that inquiry.</w:t>
      </w:r>
    </w:p>
    <w:p>
      <w:pPr>
        <w:pStyle w:val="Normal"/>
        <w:rPr/>
      </w:pPr>
      <w:r>
        <w:rPr/>
      </w:r>
    </w:p>
    <w:p>
      <w:pPr>
        <w:pStyle w:val="Heading3"/>
        <w:ind w:hanging="0" w:left="0" w:right="0"/>
        <w:rPr/>
      </w:pPr>
      <w:bookmarkStart w:id="0" w:name="Instructions_for_Authors_Statements_&amp;_De"/>
      <w:bookmarkEnd w:id="0"/>
      <w:r>
        <w:rPr/>
        <w:t>Statements &amp; Declarations</w:t>
      </w:r>
    </w:p>
    <w:p>
      <w:pPr>
        <w:pStyle w:val="Normal"/>
        <w:rPr>
          <w:b/>
        </w:rPr>
      </w:pPr>
      <w:r>
        <w:rPr>
          <w:b/>
        </w:rPr>
        <w:t>Funding</w:t>
      </w:r>
    </w:p>
    <w:p>
      <w:pPr>
        <w:pStyle w:val="Normal"/>
        <w:rPr/>
      </w:pPr>
      <w:r>
        <w:rPr>
          <w:b w:val="false"/>
          <w:bCs w:val="false"/>
        </w:rPr>
        <w:t xml:space="preserve">This publication is part of </w:t>
      </w:r>
      <w:r>
        <w:rPr>
          <w:b w:val="false"/>
          <w:bCs w:val="false"/>
        </w:rPr>
        <w:t xml:space="preserve">CONFIIA </w:t>
      </w:r>
      <w:r>
        <w:rPr>
          <w:b w:val="false"/>
          <w:bCs w:val="false"/>
        </w:rPr>
        <w:t xml:space="preserve">project PID2024-156166OA-I00, funded by MICIU/AEI/10.13039/501100011033 and by the ESF+; </w:t>
      </w:r>
      <w:r>
        <w:rPr>
          <w:b w:val="false"/>
          <w:bCs w:val="false"/>
        </w:rPr>
        <w:t xml:space="preserve">and </w:t>
      </w:r>
      <w:r>
        <w:rPr/>
        <w:t>Consejería de Universidad, Investigación e Innovación, Junta de Andalucía (Grant EMEC_2023_00442</w:t>
      </w:r>
      <w:r>
        <w:rPr/>
        <w:t>).</w:t>
      </w:r>
    </w:p>
    <w:p>
      <w:pPr>
        <w:pStyle w:val="Normal"/>
        <w:rPr>
          <w:b/>
          <w:bCs/>
        </w:rPr>
      </w:pPr>
      <w:r>
        <w:rPr>
          <w:b/>
          <w:bCs/>
        </w:rPr>
        <w:t>Competing interests</w:t>
      </w:r>
    </w:p>
    <w:p>
      <w:pPr>
        <w:pStyle w:val="Normal"/>
        <w:rPr>
          <w:b/>
          <w:bCs/>
        </w:rPr>
      </w:pPr>
      <w:r>
        <w:rPr>
          <w:rStyle w:val="Emphasis"/>
          <w:b w:val="false"/>
          <w:bCs w:val="false"/>
          <w:i w:val="false"/>
          <w:iCs w:val="false"/>
        </w:rPr>
        <w:t>The author ha</w:t>
      </w:r>
      <w:r>
        <w:rPr>
          <w:rStyle w:val="Emphasis"/>
          <w:b w:val="false"/>
          <w:bCs w:val="false"/>
          <w:i w:val="false"/>
          <w:iCs w:val="false"/>
        </w:rPr>
        <w:t>s</w:t>
      </w:r>
      <w:r>
        <w:rPr>
          <w:rStyle w:val="Emphasis"/>
          <w:b w:val="false"/>
          <w:bCs w:val="false"/>
          <w:i w:val="false"/>
          <w:iCs w:val="false"/>
        </w:rPr>
        <w:t xml:space="preserve"> no relevant financial or non-financial interests to disclose.</w:t>
      </w:r>
      <w:r>
        <w:br w:type="page"/>
      </w:r>
    </w:p>
    <w:p>
      <w:pPr>
        <w:pStyle w:val="Heading1"/>
        <w:spacing w:lineRule="auto" w:line="480" w:before="0" w:after="200"/>
        <w:jc w:val="center"/>
        <w:rPr/>
      </w:pPr>
      <w:r>
        <w:rPr>
          <w:rFonts w:eastAsia="Times New Roman" w:cs="Times New Roman" w:ascii="Times New Roman" w:hAnsi="Times New Roman"/>
          <w:b/>
          <w:bCs/>
          <w:sz w:val="24"/>
          <w:szCs w:val="24"/>
        </w:rPr>
        <w:t>References</w:t>
      </w:r>
    </w:p>
    <w:p>
      <w:pPr>
        <w:pStyle w:val="Normal"/>
        <w:spacing w:lineRule="auto" w:line="480" w:before="0" w:after="200"/>
        <w:ind w:hanging="720" w:left="720"/>
        <w:rPr/>
      </w:pPr>
      <w:r>
        <w:rPr>
          <w:rFonts w:eastAsia="Times New Roman" w:cs="Times New Roman"/>
          <w:sz w:val="24"/>
          <w:szCs w:val="24"/>
        </w:rPr>
        <w:t xml:space="preserve">Corriveau, K. H., &amp; Harris, P. L. (2009). Choosing your informant: Weighing familiarity and recent accuracy. </w:t>
      </w:r>
      <w:r>
        <w:rPr>
          <w:rFonts w:eastAsia="Times New Roman" w:cs="Times New Roman"/>
          <w:i/>
          <w:iCs/>
          <w:sz w:val="24"/>
          <w:szCs w:val="24"/>
        </w:rPr>
        <w:t>Developmental Science, 12</w:t>
      </w:r>
      <w:r>
        <w:rPr>
          <w:rFonts w:eastAsia="Times New Roman" w:cs="Times New Roman"/>
          <w:sz w:val="24"/>
          <w:szCs w:val="24"/>
        </w:rPr>
        <w:t>(3), 426–437. https://doi.org/10.1111/j.1467-7687.2008.00792.x</w:t>
      </w:r>
    </w:p>
    <w:p>
      <w:pPr>
        <w:pStyle w:val="Normal"/>
        <w:spacing w:lineRule="auto" w:line="480" w:before="0" w:after="200"/>
        <w:ind w:hanging="720" w:left="720"/>
        <w:rPr/>
      </w:pPr>
      <w:r>
        <w:rPr>
          <w:rFonts w:eastAsia="Times New Roman" w:cs="Times New Roman"/>
          <w:sz w:val="24"/>
          <w:szCs w:val="24"/>
        </w:rPr>
        <w:t xml:space="preserve">Fan, Y., Tang, L., Le, H., Shen, K., Tan, S., Zhao, Y., ... &amp; Gasevic, D. (2025). Beware of metacognitive laziness: Effects of generative artificial intelligence on learning motivation, processes, and performance. </w:t>
      </w:r>
      <w:r>
        <w:rPr>
          <w:rFonts w:eastAsia="Times New Roman" w:cs="Times New Roman"/>
          <w:i/>
          <w:iCs/>
          <w:sz w:val="24"/>
          <w:szCs w:val="24"/>
        </w:rPr>
        <w:t>British Journal of Educational Technology, 56</w:t>
      </w:r>
      <w:r>
        <w:rPr>
          <w:rFonts w:eastAsia="Times New Roman" w:cs="Times New Roman"/>
          <w:sz w:val="24"/>
          <w:szCs w:val="24"/>
        </w:rPr>
        <w:t>(2), 489–530. https://doi.org/10.1111/bjet.13544</w:t>
      </w:r>
    </w:p>
    <w:p>
      <w:pPr>
        <w:pStyle w:val="Normal"/>
        <w:spacing w:lineRule="auto" w:line="480" w:before="0" w:after="200"/>
        <w:ind w:hanging="720" w:left="720"/>
        <w:rPr/>
      </w:pPr>
      <w:r>
        <w:rPr>
          <w:rFonts w:eastAsia="Times New Roman" w:cs="Times New Roman"/>
          <w:sz w:val="24"/>
          <w:szCs w:val="24"/>
        </w:rPr>
        <w:t xml:space="preserve">Gerlich, M. (2025). AI tools in society: Impacts on cognitive offloading and the future of critical thinking. </w:t>
      </w:r>
      <w:r>
        <w:rPr>
          <w:rFonts w:eastAsia="Times New Roman" w:cs="Times New Roman"/>
          <w:i/>
          <w:iCs/>
          <w:sz w:val="24"/>
          <w:szCs w:val="24"/>
        </w:rPr>
        <w:t>Societies, 15</w:t>
      </w:r>
      <w:r>
        <w:rPr>
          <w:rFonts w:eastAsia="Times New Roman" w:cs="Times New Roman"/>
          <w:sz w:val="24"/>
          <w:szCs w:val="24"/>
        </w:rPr>
        <w:t>(1), 6. https://doi.org/10.3390/soc15010006</w:t>
      </w:r>
    </w:p>
    <w:p>
      <w:pPr>
        <w:pStyle w:val="Normal"/>
        <w:spacing w:lineRule="auto" w:line="480" w:before="0" w:after="200"/>
        <w:ind w:hanging="720" w:left="720"/>
        <w:rPr/>
      </w:pPr>
      <w:r>
        <w:rPr>
          <w:rFonts w:eastAsia="Times New Roman" w:cs="Times New Roman"/>
          <w:sz w:val="24"/>
          <w:szCs w:val="24"/>
        </w:rPr>
        <w:t xml:space="preserve">Harris, P. L., &amp; Corriveau, K. H. (2011). Young children’s selective trust in informants. </w:t>
      </w:r>
      <w:r>
        <w:rPr>
          <w:rFonts w:eastAsia="Times New Roman" w:cs="Times New Roman"/>
          <w:i/>
          <w:iCs/>
          <w:sz w:val="24"/>
          <w:szCs w:val="24"/>
        </w:rPr>
        <w:t>Philosophical Transactions of the Royal Society B: Biological Sciences, 366</w:t>
      </w:r>
      <w:r>
        <w:rPr>
          <w:rFonts w:eastAsia="Times New Roman" w:cs="Times New Roman"/>
          <w:sz w:val="24"/>
          <w:szCs w:val="24"/>
        </w:rPr>
        <w:t>(1567), 1179–1187. https://doi.org/10.1098/rstb.2010.0321</w:t>
      </w:r>
    </w:p>
    <w:p>
      <w:pPr>
        <w:pStyle w:val="Normal"/>
        <w:spacing w:lineRule="auto" w:line="480" w:before="0" w:after="200"/>
        <w:ind w:hanging="720" w:left="720"/>
        <w:rPr/>
      </w:pPr>
      <w:r>
        <w:rPr>
          <w:rFonts w:eastAsia="Times New Roman" w:cs="Times New Roman"/>
          <w:sz w:val="24"/>
          <w:szCs w:val="24"/>
        </w:rPr>
        <w:t xml:space="preserve">Jose, A., &amp; Thomas, K. J. (2025). Digital anthropomorphism and the psychology of trust in generative AI tutors: An opinion-based thematic synthesis. </w:t>
      </w:r>
      <w:r>
        <w:rPr>
          <w:rFonts w:eastAsia="Times New Roman" w:cs="Times New Roman"/>
          <w:i/>
          <w:iCs/>
          <w:sz w:val="24"/>
          <w:szCs w:val="24"/>
        </w:rPr>
        <w:t>Frontiers in Computer Science, 7</w:t>
      </w:r>
      <w:r>
        <w:rPr>
          <w:rFonts w:eastAsia="Times New Roman" w:cs="Times New Roman"/>
          <w:sz w:val="24"/>
          <w:szCs w:val="24"/>
        </w:rPr>
        <w:t>, 1638657. https://doi.org/10.3389/fcomp.2025.1638657</w:t>
      </w:r>
    </w:p>
    <w:p>
      <w:pPr>
        <w:pStyle w:val="Normal"/>
        <w:spacing w:lineRule="auto" w:line="480" w:before="0" w:after="200"/>
        <w:ind w:hanging="720" w:left="720"/>
        <w:rPr/>
      </w:pPr>
      <w:r>
        <w:rPr>
          <w:rFonts w:eastAsia="Times New Roman" w:cs="Times New Roman"/>
          <w:sz w:val="24"/>
          <w:szCs w:val="24"/>
        </w:rPr>
        <w:t xml:space="preserve">Jose, B., Cleetus, A., Joseph, B., Joseph, L., Jose, B., &amp; John, A. K. (2025). Epistemic authority and generative AI in learning spaces: Rethinking knowledge in the algorithmic age. </w:t>
      </w:r>
      <w:r>
        <w:rPr>
          <w:rFonts w:eastAsia="Times New Roman" w:cs="Times New Roman"/>
          <w:i/>
          <w:iCs/>
          <w:sz w:val="24"/>
          <w:szCs w:val="24"/>
        </w:rPr>
        <w:t>Frontiers in Education, 10</w:t>
      </w:r>
      <w:r>
        <w:rPr>
          <w:rFonts w:eastAsia="Times New Roman" w:cs="Times New Roman"/>
          <w:sz w:val="24"/>
          <w:szCs w:val="24"/>
        </w:rPr>
        <w:t>, 1647687. https://doi.org/10.3389/feduc.2025.1647687</w:t>
      </w:r>
    </w:p>
    <w:p>
      <w:pPr>
        <w:pStyle w:val="Normal"/>
        <w:spacing w:lineRule="auto" w:line="480" w:before="0" w:after="200"/>
        <w:ind w:hanging="720" w:left="720"/>
        <w:rPr/>
      </w:pPr>
      <w:r>
        <w:rPr>
          <w:rFonts w:eastAsia="Times New Roman" w:cs="Times New Roman"/>
          <w:sz w:val="24"/>
          <w:szCs w:val="24"/>
        </w:rPr>
        <w:t xml:space="preserve">Kahn, P. H., Jr., Kanda, T., Ishiguro, H., Gill, B. T., Ruckert, J. H., Shen, S., ... &amp; Severson, R. L. (2012). “Robovie, you’ll have to go into the closet now”: Children’s social and moral relationships with a humanoid robot. </w:t>
      </w:r>
      <w:r>
        <w:rPr>
          <w:rFonts w:eastAsia="Times New Roman" w:cs="Times New Roman"/>
          <w:i/>
          <w:iCs/>
          <w:sz w:val="24"/>
          <w:szCs w:val="24"/>
        </w:rPr>
        <w:t>Developmental Psychology, 48</w:t>
      </w:r>
      <w:r>
        <w:rPr>
          <w:rFonts w:eastAsia="Times New Roman" w:cs="Times New Roman"/>
          <w:sz w:val="24"/>
          <w:szCs w:val="24"/>
        </w:rPr>
        <w:t>(2), 303–314. https://doi.org/10.1037/a0027033</w:t>
      </w:r>
    </w:p>
    <w:p>
      <w:pPr>
        <w:pStyle w:val="Normal"/>
        <w:spacing w:lineRule="auto" w:line="480" w:before="0" w:after="200"/>
        <w:ind w:hanging="720" w:left="720"/>
        <w:rPr/>
      </w:pPr>
      <w:r>
        <w:rPr>
          <w:rFonts w:eastAsia="Times New Roman" w:cs="Times New Roman"/>
          <w:sz w:val="24"/>
          <w:szCs w:val="24"/>
        </w:rPr>
        <w:t xml:space="preserve">Koenig, M. A., &amp; Harris, P. L. (2005). Preschoolers mistrust ignorant and inaccurate speakers. </w:t>
      </w:r>
      <w:r>
        <w:rPr>
          <w:rFonts w:eastAsia="Times New Roman" w:cs="Times New Roman"/>
          <w:i/>
          <w:iCs/>
          <w:sz w:val="24"/>
          <w:szCs w:val="24"/>
        </w:rPr>
        <w:t>Child Development, 76</w:t>
      </w:r>
      <w:r>
        <w:rPr>
          <w:rFonts w:eastAsia="Times New Roman" w:cs="Times New Roman"/>
          <w:sz w:val="24"/>
          <w:szCs w:val="24"/>
        </w:rPr>
        <w:t>(6), 1261–1277. https://doi.org/10.1111/j.1467-8624.2005.00849.x</w:t>
      </w:r>
    </w:p>
    <w:p>
      <w:pPr>
        <w:pStyle w:val="Normal"/>
        <w:spacing w:lineRule="auto" w:line="480" w:before="0" w:after="200"/>
        <w:ind w:hanging="720" w:left="720"/>
        <w:rPr/>
      </w:pPr>
      <w:r>
        <w:rPr>
          <w:rFonts w:eastAsia="Times New Roman" w:cs="Times New Roman"/>
          <w:sz w:val="24"/>
          <w:szCs w:val="24"/>
        </w:rPr>
        <w:t xml:space="preserve">Leon, A. C., Davis, L. L., &amp; Kraemer, H. C. (2011). The role and interpretation of pilot studies in clinical research. </w:t>
      </w:r>
      <w:r>
        <w:rPr>
          <w:rFonts w:eastAsia="Times New Roman" w:cs="Times New Roman"/>
          <w:i/>
          <w:iCs/>
          <w:sz w:val="24"/>
          <w:szCs w:val="24"/>
        </w:rPr>
        <w:t>Journal of Psychiatric Research, 45</w:t>
      </w:r>
      <w:r>
        <w:rPr>
          <w:rFonts w:eastAsia="Times New Roman" w:cs="Times New Roman"/>
          <w:sz w:val="24"/>
          <w:szCs w:val="24"/>
        </w:rPr>
        <w:t>(5), 626–629. https://doi.org/10.1016/j.jpsychires.2010.10.008</w:t>
      </w:r>
    </w:p>
    <w:p>
      <w:pPr>
        <w:pStyle w:val="Normal"/>
        <w:spacing w:lineRule="auto" w:line="480" w:before="0" w:after="200"/>
        <w:ind w:hanging="720" w:left="720"/>
        <w:rPr/>
      </w:pPr>
      <w:r>
        <w:rPr>
          <w:rFonts w:eastAsia="Times New Roman" w:cs="Times New Roman"/>
          <w:sz w:val="24"/>
          <w:szCs w:val="24"/>
        </w:rPr>
        <w:t xml:space="preserve">Ronfard, S., &amp; Lane, J. D. (2018). Preschoolers continually adjust their epistemic trust based on an informant’s ongoing accuracy. </w:t>
      </w:r>
      <w:r>
        <w:rPr>
          <w:rFonts w:eastAsia="Times New Roman" w:cs="Times New Roman"/>
          <w:i/>
          <w:iCs/>
          <w:sz w:val="24"/>
          <w:szCs w:val="24"/>
        </w:rPr>
        <w:t>Child Development, 89</w:t>
      </w:r>
      <w:r>
        <w:rPr>
          <w:rFonts w:eastAsia="Times New Roman" w:cs="Times New Roman"/>
          <w:sz w:val="24"/>
          <w:szCs w:val="24"/>
        </w:rPr>
        <w:t>(2), 414–429. https://doi.org/10.1111/cdev.12720</w:t>
      </w:r>
    </w:p>
    <w:p>
      <w:pPr>
        <w:pStyle w:val="Normal"/>
        <w:spacing w:lineRule="auto" w:line="480" w:before="0" w:after="200"/>
        <w:ind w:hanging="720" w:left="720"/>
        <w:rPr/>
      </w:pPr>
      <w:r>
        <w:rPr>
          <w:rFonts w:eastAsia="Times New Roman" w:cs="Times New Roman"/>
          <w:sz w:val="24"/>
          <w:szCs w:val="24"/>
        </w:rPr>
        <w:t xml:space="preserve">Sperber, D., Clément, F., Heintz, C., Mascaro, O., Mercier, H., Origgi, G., &amp; Wilson, D. (2010). Epistemic vigilance. </w:t>
      </w:r>
      <w:r>
        <w:rPr>
          <w:rFonts w:eastAsia="Times New Roman" w:cs="Times New Roman"/>
          <w:i/>
          <w:iCs/>
          <w:sz w:val="24"/>
          <w:szCs w:val="24"/>
        </w:rPr>
        <w:t>Mind &amp; Language, 25</w:t>
      </w:r>
      <w:r>
        <w:rPr>
          <w:rFonts w:eastAsia="Times New Roman" w:cs="Times New Roman"/>
          <w:sz w:val="24"/>
          <w:szCs w:val="24"/>
        </w:rPr>
        <w:t>(4), 359–393. https://doi.org/10.1111/j.1468-0017.2010.01394.x</w:t>
      </w:r>
    </w:p>
    <w:p>
      <w:pPr>
        <w:pStyle w:val="Normal"/>
        <w:spacing w:lineRule="auto" w:line="480" w:before="0" w:after="200"/>
        <w:ind w:hanging="720" w:left="720"/>
        <w:rPr/>
      </w:pPr>
      <w:r>
        <w:rPr>
          <w:rFonts w:eastAsia="Times New Roman" w:cs="Times New Roman"/>
          <w:sz w:val="24"/>
          <w:szCs w:val="24"/>
        </w:rPr>
        <w:t xml:space="preserve">Tomasello, M., Carpenter, M., Call, J., Behne, T., &amp; Moll, H. (2005). Understanding and sharing intentions: The origins of cultural cognition. </w:t>
      </w:r>
      <w:r>
        <w:rPr>
          <w:rFonts w:eastAsia="Times New Roman" w:cs="Times New Roman"/>
          <w:i/>
          <w:iCs/>
          <w:sz w:val="24"/>
          <w:szCs w:val="24"/>
        </w:rPr>
        <w:t>Behavioral and Brain Sciences, 28</w:t>
      </w:r>
      <w:r>
        <w:rPr>
          <w:rFonts w:eastAsia="Times New Roman" w:cs="Times New Roman"/>
          <w:sz w:val="24"/>
          <w:szCs w:val="24"/>
        </w:rPr>
        <w:t>(5), 675–735. https://doi.org/10.1017/S0140525X05000129</w:t>
      </w:r>
    </w:p>
    <w:p>
      <w:pPr>
        <w:pStyle w:val="Normal"/>
        <w:spacing w:lineRule="auto" w:line="480" w:before="0" w:after="200"/>
        <w:ind w:hanging="720" w:left="720"/>
        <w:rPr/>
      </w:pPr>
      <w:r>
        <w:rPr>
          <w:rFonts w:eastAsia="Times New Roman" w:cs="Times New Roman"/>
          <w:sz w:val="24"/>
          <w:szCs w:val="24"/>
        </w:rPr>
        <w:t xml:space="preserve">Chen, B. (2025). Beyond tools: Generative AI as epistemic infrastructure in education. </w:t>
      </w:r>
      <w:r>
        <w:rPr>
          <w:rFonts w:eastAsia="Times New Roman" w:cs="Times New Roman"/>
          <w:i/>
          <w:iCs/>
          <w:sz w:val="24"/>
          <w:szCs w:val="24"/>
        </w:rPr>
        <w:t>arXiv preprint</w:t>
      </w:r>
      <w:r>
        <w:rPr>
          <w:rFonts w:eastAsia="Times New Roman" w:cs="Times New Roman"/>
          <w:sz w:val="24"/>
          <w:szCs w:val="24"/>
        </w:rPr>
        <w:t>, arXiv:2504.06928. https://doi.org/10.48550/arXiv.2504.06928</w:t>
      </w:r>
    </w:p>
    <w:p>
      <w:pPr>
        <w:pStyle w:val="Normal"/>
        <w:spacing w:lineRule="auto" w:line="480" w:before="0" w:after="200"/>
        <w:ind w:hanging="720" w:left="720"/>
        <w:rPr/>
      </w:pPr>
      <w:r>
        <w:rPr>
          <w:rFonts w:eastAsia="Times New Roman" w:cs="Times New Roman"/>
          <w:sz w:val="24"/>
          <w:szCs w:val="24"/>
        </w:rPr>
        <w:t>Xu, Y. (2024). AI’s impact on children’s social and cognitive development [Research presentation]. Children and Screens: Institute of Digital Media and Child Development, New York, NY.</w:t>
      </w:r>
    </w:p>
    <w:p>
      <w:pPr>
        <w:pStyle w:val="Normal"/>
        <w:spacing w:lineRule="auto" w:line="480" w:before="0" w:after="200"/>
        <w:ind w:hanging="720" w:left="720"/>
        <w:rPr/>
      </w:pPr>
      <w:r>
        <w:rPr>
          <w:rFonts w:eastAsia="Times New Roman" w:cs="Times New Roman"/>
          <w:sz w:val="24"/>
          <w:szCs w:val="24"/>
        </w:rPr>
        <w:t xml:space="preserve">Zacks, J. M., Speer, N. K., Swallow, K. M., Braver, T. S., &amp; Reynolds, J. R. (2007). Event perception: A mind-brain perspective. </w:t>
      </w:r>
      <w:r>
        <w:rPr>
          <w:rFonts w:eastAsia="Times New Roman" w:cs="Times New Roman"/>
          <w:i/>
          <w:iCs/>
          <w:sz w:val="24"/>
          <w:szCs w:val="24"/>
        </w:rPr>
        <w:t>Psychological Bulletin, 133</w:t>
      </w:r>
      <w:r>
        <w:rPr>
          <w:rFonts w:eastAsia="Times New Roman" w:cs="Times New Roman"/>
          <w:sz w:val="24"/>
          <w:szCs w:val="24"/>
        </w:rPr>
        <w:t>(2), 273–293. https://doi.org/10.1037/0033-2909.133.2.273</w:t>
      </w:r>
    </w:p>
    <w:sectPr>
      <w:headerReference w:type="even" r:id="rId5"/>
      <w:headerReference w:type="default" r:id="rId6"/>
      <w:headerReference w:type="first" r:id="rId7"/>
      <w:type w:val="nextPage"/>
      <w:pgSz w:w="12240" w:h="15840"/>
      <w:pgMar w:left="1440" w:right="1440" w:gutter="0" w:header="708" w:top="1440" w:footer="0" w:bottom="1440"/>
      <w:lnNumType w:countBy="1" w:restart="continuous" w:distance="283"/>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Times New Roman">
    <w:charset w:val="01"/>
    <w:family w:val="swiss"/>
    <w:pitch w:val="default"/>
  </w:font>
  <w:font w:name="Times New Roman">
    <w:charset w:val="01"/>
    <w:family w:val="swiss"/>
    <w:pitch w:val="variable"/>
  </w:font>
  <w:font w:name="Liberation Sans">
    <w:altName w:val="Arial"/>
    <w:charset w:val="01"/>
    <w:family w:val="swiss"/>
    <w:pitch w:val="variable"/>
  </w:font>
  <w:font w:name="Calibri">
    <w:charset w:val="01"/>
    <w:family w:val="swiss"/>
    <w:pitch w:val="default"/>
  </w:font>
  <w:font w:name="Times New Roman">
    <w:charset w:val="01"/>
    <w:family w:val="roman"/>
    <w:pitch w:val="default"/>
  </w:font>
</w:fonts>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numPr>
        <w:ilvl w:val="0"/>
        <w:numId w:val="1"/>
      </w:numPr>
      <w:tabs>
        <w:tab w:val="clear" w:pos="720"/>
        <w:tab w:val="right" w:pos="9026" w:leader="none"/>
      </w:tabs>
      <w:rPr/>
    </w:pPr>
    <w:r>
      <w:rPr>
        <w:rFonts w:eastAsia="Times New Roman" w:cs="Times New Roman"/>
        <w:sz w:val="20"/>
        <w:szCs w:val="20"/>
      </w:rPr>
      <w:t>EPISTEMIC DEFERENCE IN EARLY CHILDHOOD</w:t>
    </w:r>
    <w:r>
      <w:rPr>
        <w:sz w:val="20"/>
        <w:szCs w:val="20"/>
      </w:rPr>
      <w:tab/>
    </w:r>
    <w:r>
      <w:rPr/>
      <w:fldChar w:fldCharType="begin"/>
    </w:r>
    <w:r>
      <w:rPr/>
      <w:instrText xml:space="preserve"> PAGE </w:instrText>
    </w:r>
    <w:r>
      <w:rPr/>
      <w:fldChar w:fldCharType="separate"/>
    </w:r>
    <w:r>
      <w:rPr/>
      <w:t>17</w:t>
    </w:r>
    <w:r>
      <w:rPr/>
      <w:fldChar w:fldCharType="end"/>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numPr>
        <w:ilvl w:val="0"/>
        <w:numId w:val="1"/>
      </w:numPr>
      <w:tabs>
        <w:tab w:val="clear" w:pos="720"/>
        <w:tab w:val="right" w:pos="9026" w:leader="none"/>
      </w:tabs>
      <w:rPr/>
    </w:pPr>
    <w:r>
      <w:rPr>
        <w:rFonts w:eastAsia="Times New Roman" w:cs="Times New Roman"/>
        <w:sz w:val="20"/>
        <w:szCs w:val="20"/>
      </w:rPr>
      <w:t>EPISTEMIC DEFERENCE IN EARLY CHILDHOOD</w:t>
    </w:r>
    <w:r>
      <w:rPr>
        <w:sz w:val="20"/>
        <w:szCs w:val="20"/>
      </w:rPr>
      <w:tab/>
    </w:r>
    <w:r>
      <w:rPr/>
      <w:fldChar w:fldCharType="begin"/>
    </w:r>
    <w:r>
      <w:rPr/>
      <w:instrText xml:space="preserve"> PAGE </w:instrText>
    </w:r>
    <w:r>
      <w:rPr/>
      <w:fldChar w:fldCharType="separate"/>
    </w:r>
    <w:r>
      <w:rPr/>
      <w:t>17</w:t>
    </w:r>
    <w:r>
      <w:rPr/>
      <w:fldChar w:fldCharType="end"/>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left"/>
      <w:pPr>
        <w:tabs>
          <w:tab w:val="num" w:pos="72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bering>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Times New Roman" w:cs="Times New Roman"/>
        <w:sz w:val="24"/>
        <w:szCs w:val="24"/>
        <w:lang w:val="es-ES" w:eastAsia="zh-CN" w:bidi="hi-IN"/>
      </w:rPr>
    </w:rPrDefault>
    <w:pPrDefault>
      <w:pPr>
        <w:suppressAutoHyphens w:val="true"/>
      </w:pPr>
    </w:pPrDefault>
  </w:docDefaults>
  <w:style w:type="paragraph" w:styleId="Normal">
    <w:name w:val="Normal"/>
    <w:qFormat/>
    <w:pPr>
      <w:widowControl/>
      <w:bidi w:val="0"/>
      <w:spacing w:lineRule="auto" w:line="480" w:before="0" w:after="0"/>
      <w:jc w:val="left"/>
    </w:pPr>
    <w:rPr>
      <w:rFonts w:ascii="Times New Roman" w:hAnsi="Times New Roman" w:eastAsia="Times New Roman" w:cs="Times New Roman"/>
      <w:color w:val="auto"/>
      <w:kern w:val="0"/>
      <w:sz w:val="24"/>
      <w:szCs w:val="24"/>
      <w:lang w:val="es-ES" w:eastAsia="zh-CN" w:bidi="hi-IN"/>
    </w:rPr>
  </w:style>
  <w:style w:type="paragraph" w:styleId="Heading1">
    <w:name w:val="heading 1"/>
    <w:basedOn w:val="Heading"/>
    <w:qFormat/>
    <w:pPr>
      <w:spacing w:lineRule="auto" w:line="480" w:before="360" w:after="200"/>
      <w:jc w:val="center"/>
      <w:outlineLvl w:val="0"/>
    </w:pPr>
    <w:rPr>
      <w:rFonts w:ascii="Times New Roman" w:hAnsi="Times New Roman" w:eastAsia="Times New Roman" w:cs="Times New Roman"/>
      <w:b/>
      <w:bCs/>
      <w:sz w:val="24"/>
      <w:szCs w:val="24"/>
    </w:rPr>
  </w:style>
  <w:style w:type="paragraph" w:styleId="Heading2">
    <w:name w:val="heading 2"/>
    <w:basedOn w:val="Heading"/>
    <w:qFormat/>
    <w:pPr>
      <w:spacing w:lineRule="auto" w:line="480" w:before="240" w:after="200"/>
      <w:outlineLvl w:val="1"/>
    </w:pPr>
    <w:rPr>
      <w:rFonts w:ascii="Times New Roman" w:hAnsi="Times New Roman" w:eastAsia="Times New Roman" w:cs="Times New Roman"/>
      <w:b/>
      <w:bCs/>
      <w:sz w:val="24"/>
      <w:szCs w:val="24"/>
    </w:rPr>
  </w:style>
  <w:style w:type="paragraph" w:styleId="Heading3">
    <w:name w:val="heading 3"/>
    <w:basedOn w:val="Heading"/>
    <w:qFormat/>
    <w:pPr>
      <w:spacing w:lineRule="auto" w:line="480" w:before="240" w:after="200"/>
      <w:outlineLvl w:val="2"/>
    </w:pPr>
    <w:rPr>
      <w:rFonts w:ascii="Times New Roman" w:hAnsi="Times New Roman" w:eastAsia="Times New Roman" w:cs="Times New Roman"/>
      <w:b/>
      <w:bCs/>
      <w:i/>
      <w:iCs/>
      <w:sz w:val="24"/>
      <w:szCs w:val="24"/>
    </w:rPr>
  </w:style>
  <w:style w:type="paragraph" w:styleId="Heading4">
    <w:name w:val="heading 4"/>
    <w:basedOn w:val="Heading"/>
    <w:qFormat/>
    <w:pPr/>
    <w:rPr>
      <w:i/>
      <w:iCs/>
      <w:color w:val="2E74B5"/>
    </w:rPr>
  </w:style>
  <w:style w:type="paragraph" w:styleId="Heading5">
    <w:name w:val="heading 5"/>
    <w:basedOn w:val="Heading"/>
    <w:qFormat/>
    <w:pPr/>
    <w:rPr>
      <w:color w:val="2E74B5"/>
    </w:rPr>
  </w:style>
  <w:style w:type="paragraph" w:styleId="Heading6">
    <w:name w:val="heading 6"/>
    <w:basedOn w:val="Heading"/>
    <w:qFormat/>
    <w:pPr/>
    <w:rPr>
      <w:color w:val="1F4D78"/>
    </w:rPr>
  </w:style>
  <w:style w:type="character" w:styleId="Hyperlink">
    <w:name w:val="Hyperlink"/>
    <w:uiPriority w:val="99"/>
    <w:unhideWhenUsed/>
    <w:rPr>
      <w:color w:val="0563C1"/>
      <w:u w:val="single"/>
    </w:rPr>
  </w:style>
  <w:style w:type="character" w:styleId="FootnoteCharacters">
    <w:name w:val="Footnote Characters"/>
    <w:uiPriority w:val="99"/>
    <w:semiHidden/>
    <w:unhideWhenUsed/>
    <w:qFormat/>
    <w:rPr>
      <w:vertAlign w:val="superscript"/>
    </w:rPr>
  </w:style>
  <w:style w:type="character" w:styleId="FootnoteReference">
    <w:name w:val="footnote reference"/>
    <w:rPr>
      <w:vertAlign w:val="superscript"/>
    </w:rPr>
  </w:style>
  <w:style w:type="character" w:styleId="FootnoteTextChar">
    <w:name w:val="Footnote Text Char"/>
    <w:link w:val="FootnoteText"/>
    <w:uiPriority w:val="99"/>
    <w:semiHidden/>
    <w:unhideWhenUsed/>
    <w:qFormat/>
    <w:rPr>
      <w:sz w:val="20"/>
      <w:szCs w:val="20"/>
    </w:rPr>
  </w:style>
  <w:style w:type="character" w:styleId="LineNumber">
    <w:name w:val="line number"/>
    <w:rPr/>
  </w:style>
  <w:style w:type="character" w:styleId="Emphasis">
    <w:name w:val="Emphasis"/>
    <w:qFormat/>
    <w:rPr>
      <w:i/>
      <w:iCs/>
    </w:rPr>
  </w:style>
  <w:style w:type="paragraph" w:styleId="Heading">
    <w:name w:val="Heading"/>
    <w:basedOn w:val="Normal"/>
    <w:next w:val="BodyText"/>
    <w:qFormat/>
    <w:pPr>
      <w:keepNext w:val="true"/>
      <w:spacing w:before="240" w:after="120"/>
    </w:pPr>
    <w:rPr>
      <w:rFonts w:ascii="Liberation Sans" w:hAnsi="Liberation Sans" w:eastAsia="Arial Unicode MS"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ascii="Calibri" w:hAnsi="Calibri" w:cs="Arial Unicode MS"/>
    </w:rPr>
  </w:style>
  <w:style w:type="paragraph" w:styleId="Caption">
    <w:name w:val="caption"/>
    <w:basedOn w:val="Normal"/>
    <w:qFormat/>
    <w:pPr>
      <w:suppressLineNumbers/>
      <w:spacing w:before="120" w:after="120"/>
    </w:pPr>
    <w:rPr>
      <w:rFonts w:ascii="Calibri" w:hAnsi="Calibri" w:cs="Arial Unicode MS"/>
      <w:i/>
      <w:iCs/>
      <w:sz w:val="24"/>
      <w:szCs w:val="24"/>
    </w:rPr>
  </w:style>
  <w:style w:type="paragraph" w:styleId="Index">
    <w:name w:val="Index"/>
    <w:basedOn w:val="Normal"/>
    <w:qFormat/>
    <w:pPr>
      <w:suppressLineNumbers/>
    </w:pPr>
    <w:rPr>
      <w:rFonts w:ascii="Calibri" w:hAnsi="Calibri" w:cs="Arial Unicode MS"/>
    </w:rPr>
  </w:style>
  <w:style w:type="paragraph" w:styleId="Title">
    <w:name w:val="Title"/>
    <w:basedOn w:val="Heading"/>
    <w:qFormat/>
    <w:pPr/>
    <w:rPr>
      <w:sz w:val="56"/>
      <w:szCs w:val="56"/>
    </w:rPr>
  </w:style>
  <w:style w:type="paragraph" w:styleId="StrongEmphasis">
    <w:name w:val="Strong Emphasis"/>
    <w:qFormat/>
    <w:pPr>
      <w:widowControl/>
      <w:bidi w:val="0"/>
      <w:spacing w:lineRule="auto" w:line="480" w:before="0" w:after="0"/>
      <w:jc w:val="left"/>
    </w:pPr>
    <w:rPr>
      <w:rFonts w:ascii="Times New Roman" w:hAnsi="Times New Roman" w:eastAsia="Times New Roman" w:cs="Times New Roman"/>
      <w:b/>
      <w:bCs/>
      <w:color w:val="auto"/>
      <w:kern w:val="0"/>
      <w:sz w:val="24"/>
      <w:szCs w:val="24"/>
      <w:lang w:val="es-ES" w:eastAsia="zh-CN" w:bidi="hi-IN"/>
    </w:rPr>
  </w:style>
  <w:style w:type="paragraph" w:styleId="ListParagraph">
    <w:name w:val="List Paragraph"/>
    <w:qFormat/>
    <w:pPr>
      <w:widowControl/>
      <w:bidi w:val="0"/>
      <w:spacing w:lineRule="auto" w:line="480" w:before="0" w:after="0"/>
      <w:jc w:val="left"/>
    </w:pPr>
    <w:rPr>
      <w:rFonts w:ascii="Times New Roman" w:hAnsi="Times New Roman" w:eastAsia="Times New Roman" w:cs="Times New Roman"/>
      <w:color w:val="auto"/>
      <w:kern w:val="0"/>
      <w:sz w:val="24"/>
      <w:szCs w:val="24"/>
      <w:lang w:val="es-ES" w:eastAsia="zh-CN" w:bidi="hi-IN"/>
    </w:rPr>
  </w:style>
  <w:style w:type="paragraph" w:styleId="FootnoteText">
    <w:name w:val="footnote text"/>
    <w:basedOn w:val="Normal"/>
    <w:link w:val="FootnoteTextChar"/>
    <w:uiPriority w:val="99"/>
    <w:semiHidden/>
    <w:unhideWhenUsed/>
    <w:pPr>
      <w:spacing w:lineRule="auto" w:line="240" w:before="0" w:after="0"/>
    </w:pPr>
    <w:rPr>
      <w:sz w:val="20"/>
      <w:szCs w:val="20"/>
    </w:rPr>
  </w:style>
  <w:style w:type="paragraph" w:styleId="HeaderandFooter">
    <w:name w:val="Header and Footer"/>
    <w:basedOn w:val="Normal"/>
    <w:qFormat/>
    <w:pPr/>
    <w:rPr/>
  </w:style>
  <w:style w:type="paragraph" w:styleId="Header">
    <w:name w:val="header"/>
    <w:basedOn w:val="HeaderandFooter"/>
    <w:pPr>
      <w:suppressLineNumbers/>
    </w:pPr>
    <w:rPr/>
  </w:style>
  <w:style w:type="paragraph" w:styleId="Footer">
    <w:name w:val="footer"/>
    <w:basedOn w:val="HeaderandFooter"/>
    <w:pPr>
      <w:suppressLineNumbers/>
      <w:tabs>
        <w:tab w:val="clear" w:pos="720"/>
        <w:tab w:val="center" w:pos="4680" w:leader="none"/>
        <w:tab w:val="right" w:pos="9360" w:leader="none"/>
      </w:tabs>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header" Target="header1.xml"/><Relationship Id="rId6" Type="http://schemas.openxmlformats.org/officeDocument/2006/relationships/header" Target="header2.xml"/><Relationship Id="rId7" Type="http://schemas.openxmlformats.org/officeDocument/2006/relationships/header" Target="header3.xml"/><Relationship Id="rId8" Type="http://schemas.openxmlformats.org/officeDocument/2006/relationships/numbering" Target="numbering.xml"/><Relationship Id="rId9" Type="http://schemas.openxmlformats.org/officeDocument/2006/relationships/fontTable" Target="fontTable.xml"/><Relationship Id="rId10" Type="http://schemas.openxmlformats.org/officeDocument/2006/relationships/settings" Target="settings.xml"/><Relationship Id="rId11"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Application>LibreOffice/25.2.0.3$MacOSX_AARCH64 LibreOffice_project/e1cf4a87eb02d755bce1a01209907ea5ddc8f069</Application>
  <AppVersion>15.0000</AppVersion>
  <Pages>17</Pages>
  <Words>3080</Words>
  <Characters>19369</Characters>
  <CharactersWithSpaces>22323</CharactersWithSpaces>
  <Paragraphs>95</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description/>
  <dc:language>es-ES</dc:language>
  <dc:subject/>
  <dc:title/>
</cp:coreProperties>
</file>