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vbaProject.bin.rels" ContentType="application/vnd.openxmlformats-package.relationships+xml"/>
  <Override PartName="/word/_rels/document.xml.rels" ContentType="application/vnd.openxmlformats-package.relationships+xml"/>
  <Override PartName="/word/styles.xml" ContentType="application/vnd.openxmlformats-officedocument.wordprocessingml.styles+xml"/>
  <Override PartName="/word/header1.xml" ContentType="application/vnd.openxmlformats-officedocument.wordprocessingml.header+xml"/>
  <Override PartName="/word/document.xml" ContentType="application/vnd.ms-word.document.macroEnabled.main+xml"/>
  <Override PartName="/word/header2.xml" ContentType="application/vnd.openxmlformats-officedocument.wordprocessingml.header+xml"/>
  <Override PartName="/word/footer1.xml" ContentType="application/vnd.openxmlformats-officedocument.wordprocessingml.footer+xml"/>
  <Override PartName="/word/vbaProject.bin" ContentType="application/vnd.ms-office.vbaProject"/>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word/vbaData.xml" ContentType="application/vnd.ms-word.vbaData+xml"/>
  <Override PartName="/word/settings.xml" ContentType="application/vnd.openxmlformats-officedocument.wordprocessingml.settings+xml"/>
  <Override PartName="/word/numbering.xml" ContentType="application/vnd.openxmlformats-officedocument.wordprocessingml.numbering+xml"/>
  <Override PartName="/word/footer3.xml" ContentType="application/vnd.openxmlformats-officedocument.wordprocessingml.footer+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ns0:document xmlns:ns0="http://schemas.openxmlformats.org/wordprocessingml/2006/main" xmlns:ns1="http://schemas.openxmlformats.org/markup-compatibility/2006" xmlns:ns2="http://schemas.openxmlformats.org/officeDocument/2006/relationships" ns1:Ignorable="w14 wp14 w15">
  <ns0:body>
    <ns0:p>
      <ns0:pPr>
        <ns0:pStyle ns0:val="papertitle"/>
        <ns0:rPr/>
      </ns0:pPr>
      <ns0:r>
        <ns0:rPr/>
        <ns0:t>Polycentric control beyond compliance: A comparative qualitative study of six contemporary AI Governance models</ns0:t>
      </ns0:r>
    </ns0:p>
    <ns0:p>
      <ns0:pPr>
        <ns0:pStyle ns0:val="author"/>
        <ns0:rPr/>
      </ns0:pPr>
      <ns0:r>
        <ns0:t>Anonymous authors</ns0:t>
      </ns0:r>
    </ns0:p>
    <ns0:p>
      <ns0:pPr>
        <ns0:pStyle ns0:val="address"/>
        <ns0:rPr/>
      </ns0:pPr>
      <ns0:r>
        <ns0:t>Anonymous affiliation(s)</ns0:t>
      </ns0:r>
    </ns0:p>
    <ns0:p>
      <ns0:pPr>
        <ns0:pStyle ns0:val="address"/>
        <ns0:rPr/>
      </ns0:pPr>
    </ns0:p>
    <ns0:p>
      <ns0:pPr>
        <ns0:pStyle ns0:val="address"/>
        <ns0:rPr/>
      </ns0:pPr>
    </ns0:p>
    <ns0:p>
      <ns0:pPr>
        <ns0:pStyle ns0:val="address"/>
        <ns0:rPr/>
      </ns0:pPr>
    </ns0:p>
    <ns0:p>
      <ns0:pPr>
        <ns0:pStyle ns0:val="address"/>
        <ns0:rPr/>
      </ns0:pPr>
    </ns0:p>
    <ns0:p>
      <ns0:pPr>
        <ns0:pStyle ns0:val="abstract"/>
        <ns0:spacing ns0:before="600" ns0:after="0"/>
        <ns0:ind ns0:hanging="0" ns0:left="567" ns0:right="567"/>
        <ns0:contextualSpacing/>
        <ns0:rPr/>
      </ns0:pPr>
      <ns0:r>
        <ns0:rPr>
          <ns0:b/>
          <ns0:bCs/>
        </ns0:rPr>
        <ns0:t>Abstract</ns0:t>
      </ns0:r>
      <ns0:r>
        <ns0:rPr/>
        <ns0:t>. Polycentric governance is often presented as the normative answer to the concentration of power in artificial intelligence, yet current debates rarely show how polycentric control can be identified and compared across concrete governance models. This paper addresses that gap through a qualitative comparative document analysis of six contemporary governance models published or updated between 2024 and 2026: the EU AI Act, the NIST Generative AI Profile, the United Nations AI governance initiatives, a power-sharing liberal roadmap, a public participation model for public administration, and a coordination transparency framework. The study codes each model across four dimensions: decisional plurality, citizen contestability, runtime oversight, and public participation. The results show that current approaches cluster into three incomplete families. Compliance-centered models are enforceable but weak on democratic inclusion; participation-centered models are normatively attractive but weak on continuous technical intervention; coordination-centered models illuminate distributed agency but remain thinly institutionalized. No single model integrates all four dimensions. The paper therefore proposes a Hybrid Polycentric Control model that combines legal enforceability, participatory channels, and runtime coordination transparency. The contribution is both empirical and conceptual: it offers a small but systematic comparison of recent governance models and uses that comparison to clarify what democratic control over AI would require in practice.</ns0:t>
      </ns0:r>
    </ns0:p>
    <ns0:p>
      <ns0:pPr>
        <ns0:pStyle ns0:val="keywords"/>
        <ns0:rPr/>
      </ns0:pPr>
      <ns0:r>
        <ns0:rPr>
          <ns0:b/>
          <ns0:bCs/>
        </ns0:rPr>
        <ns0:t>Keywords</ns0:t>
      </ns0:r>
      <ns0:r>
        <ns0:rPr/>
        <ns0:t>: polycentric governance, AI governance, democratic control, contestability, runtime oversight, sociotechnical systems.</ns0:t>
      </ns0:r>
    </ns0:p>
    <ns0:p>
      <ns0:pPr>
        <ns0:pStyle ns0:val="heading11"/>
        <ns0:numPr>
          <ns0:ilvl ns0:val="0"/>
          <ns0:numId ns0:val="4"/>
        </ns0:numPr>
        <ns0:ind ns0:hanging="567" ns0:left="567"/>
        <ns0:rPr/>
      </ns0:pPr>
      <ns0:r>
        <ns0:rPr/>
        <ns0:t>Introduction</ns0:t>
      </ns0:r>
    </ns0:p>
    <ns0:p>
      <ns0:pPr>
        <ns0:pStyle ns0:val="p1a"/>
        <ns0:rPr/>
      </ns0:pPr>
      <ns0:r>
        <ns0:rPr/>
        <ns0:t>AI governance has moved in a short period from abstract ethical principles to a denser institutional field. The EU AI Act, the NIST Generative AI Profile, and the United Nations initiatives on AI governance show that the policy debate is no longer limited to voluntary ethics statements [8-10]. Yet this institutional thickening has not resolved a central political problem. For example, many current approaches still concentrate agenda setting, monitoring, or intervention capacity in a narrow set of governmental, corporate, or expert actors. Recent scholarship therefore describes a democratic deficit in AI governance [2].</ns0:t>
      </ns0:r>
    </ns0:p>
    <ns0:p>
      <ns0:pPr>
        <ns0:pStyle ns0:val="Normal"/>
        <ns0:rPr/>
      </ns0:pPr>
      <ns0:r>
        <ns0:rPr/>
        <ns0:t>Polycentric governance is attractive in this context because it promises to distribute authority across multiple decision centers instead of relying on a single regulator, laboratory, or compliance office [1]. The difficulty is that the AI literature often invokes polycentricity as a desirable aspiration rather than measures it as an institutional property. A governance arrangement may involve many actors while leaving meaningful control centralized. Mere multiplicity is not the same thing as democratic control.</ns0:t>
      </ns0:r>
    </ns0:p>
    <ns0:p>
      <ns0:pPr>
        <ns0:pStyle ns0:val="Normal"/>
        <ns0:rPr/>
      </ns0:pPr>
      <ns0:r>
        <ns0:rPr/>
        <ns0:t>This paper asks when contemporary AI governance models produce real democratic control instead of symbolic inclusion. To answer that question, it conducts a qualitative comparative document analysis of six governance models published or updated between 2024 and 2026 and codes them across four dimensions: decisional plurality, citizen contestability, runtime oversight, and public participation. The central finding is that current approaches cluster into three incomplete families, say, compliance-centered, participation-centered, and coordination-centered models. No single model integrates all four dimensions. On that basis, the paper proposes a Hybrid Polycentric Control model that combines legal enforceability, participatory channels, and coordination transparency.</ns0:t>
      </ns0:r>
    </ns0:p>
    <ns0:p>
      <ns0:pPr>
        <ns0:pStyle ns0:val="Normal"/>
        <ns0:rPr/>
      </ns0:pPr>
      <ns0:r>
        <ns0:rPr/>
      </ns0:r>
    </ns0:p>
    <ns0:p>
      <ns0:pPr>
        <ns0:pStyle ns0:val="Normal"/>
        <ns0:rPr/>
      </ns0:pPr>
      <ns0:r>
        <ns0:rPr/>
      </ns0:r>
    </ns0:p>
    <ns0:p>
      <ns0:pPr>
        <ns0:pStyle ns0:val="heading11"/>
        <ns0:numPr>
          <ns0:ilvl ns0:val="0"/>
          <ns0:numId ns0:val="4"/>
        </ns0:numPr>
        <ns0:ind ns0:hanging="567" ns0:left="567"/>
        <ns0:rPr/>
      </ns0:pPr>
      <ns0:r>
        <ns0:rPr/>
        <ns0:t>Background and analytical framework</ns0:t>
      </ns0:r>
    </ns0:p>
    <ns0:p>
      <ns0:pPr>
        <ns0:pStyle ns0:val="p1a"/>
        <ns0:rPr/>
      </ns0:pPr>
      <ns0:r>
        <ns0:rPr/>
        <ns0:t>The recent literature confirms both the urgency and the fragmentation of AI governance. Batool et al. show in a systematic review that the field spans legal, ethical, organizational, and technical approaches, but lacks a stable integrative vocabulary [3]. Coeckelbergh argues that AI governance remains vulnerable to a democratic deficit when citizens and affected publics are weakly represented in decisions that shape the design and deployment of AI systems [2]. This concern is directly relevant to sociotechnical systems, where governance failures emerge not only from model errors but also from opaque institutional arrangements.</ns0:t>
      </ns0:r>
    </ns0:p>
    <ns0:p>
      <ns0:pPr>
        <ns0:pStyle ns0:val="Normal"/>
        <ns0:rPr/>
      </ns0:pPr>
      <ns0:r>
        <ns0:rPr/>
        <ns0:t>Several recent contributions address pieces of the polycentric puzzle. Allen et al. propose a roadmap for power-sharing liberalism that explicitly shifts the focus from technical alignment to the distribution of decision rights [4]. Taylor et al. argue that public participation must be treated as a substantive component of public-sector AI governance rather than a symbolic afterthought [5]. Bohr shows that human control over AI systems increasingly depends on coordination transparency, that is, on visibility into how distributed technical and organizational actors interact over time [6]. At the same time, Dahlgren et al. warn that RLHF and adjacent alignment methods have sociotechnical limits and cannot substitute for institutional governance [7].</ns0:t>
      </ns0:r>
    </ns0:p>
    <ns0:p>
      <ns0:pPr>
        <ns0:pStyle ns0:val="Normal"/>
        <ns0:rPr/>
      </ns0:pPr>
      <ns0:r>
        <ns0:rPr/>
      </ns0:r>
    </ns0:p>
    <ns0:p>
      <ns0:pPr>
        <ns0:pStyle ns0:val="heading21"/>
        <ns0:numPr>
          <ns0:ilvl ns0:val="1"/>
          <ns0:numId ns0:val="4"/>
        </ns0:numPr>
        <ns0:spacing ns0:before="0" ns0:after="160"/>
        <ns0:ind ns0:hanging="567" ns0:left="567"/>
        <ns0:rPr/>
      </ns0:pPr>
      <ns0:r>
        <ns0:rPr/>
        <ns0:t>From Polycentric aspiration to measurable control</ns0:t>
      </ns0:r>
    </ns0:p>
    <ns0:p>
      <ns0:pPr>
        <ns0:pStyle ns0:val="p1a"/>
        <ns0:rPr/>
      </ns0:pPr>
      <ns0:r>
        <ns0:rPr/>
        <ns0:t>The analytical gap, then, is not the absence of normative concern but the absence of a common basis for comparison. Official frameworks tend to emphasize accountability, documentation, or risk management [8,9]. Participatory models emphasize legitimacy and inclusion [5]. Coordination-focused accounts emphasize the runtime problem of distributed agency [6]. These are all important, but they are usually discussed in isolation. The present study treats them as complementary dimensions of polycentric control and asks how they are combined, or left uncombined, across current governance models.</ns0:t>
      </ns0:r>
    </ns0:p>
    <ns0:p>
      <ns0:pPr>
        <ns0:pStyle ns0:val="Normal"/>
        <ns0:rPr/>
      </ns0:pPr>
      <ns0:r>
        <ns0:rPr/>
      </ns0:r>
    </ns0:p>
    <ns0:p>
      <ns0:pPr>
        <ns0:pStyle ns0:val="Normal"/>
        <ns0:rPr/>
      </ns0:pPr>
      <ns0:r>
        <ns0:rPr/>
      </ns0:r>
    </ns0:p>
    <ns0:p>
      <ns0:pPr>
        <ns0:pStyle ns0:val="heading11"/>
        <ns0:numPr>
          <ns0:ilvl ns0:val="0"/>
          <ns0:numId ns0:val="4"/>
        </ns0:numPr>
        <ns0:ind ns0:hanging="567" ns0:left="567"/>
        <ns0:rPr/>
      </ns0:pPr>
      <ns0:r>
        <ns0:rPr/>
        <ns0:t>Materials and methods</ns0:t>
      </ns0:r>
    </ns0:p>
    <ns0:p>
      <ns0:pPr>
        <ns0:pStyle ns0:val="heading21"/>
        <ns0:numPr>
          <ns0:ilvl ns0:val="1"/>
          <ns0:numId ns0:val="4"/>
        </ns0:numPr>
        <ns0:spacing ns0:before="0" ns0:after="160"/>
        <ns0:ind ns0:hanging="567" ns0:left="567"/>
        <ns0:rPr/>
      </ns0:pPr>
      <ns0:r>
        <ns0:rPr/>
        <ns0:t>Corpus</ns0:t>
      </ns0:r>
    </ns0:p>
    <ns0:p>
      <ns0:pPr>
        <ns0:pStyle ns0:val="p1a"/>
        <ns0:rPr/>
      </ns0:pPr>
      <ns0:r>
        <ns0:rPr/>
        <ns0:t>The corpus contains six governance models that are highly visible, recent, and substantively different in design: the EU AI Act [8], the NIST Generative AI Profile [9], the United Nations AI governance initiatives [10], the power-sharing liberal roadmap proposed by Allen et al. [4], the public participation model discussed by Taylor et al. [5], and Bohr's coordination transparency framework [6]. The choice is purposeful rather than exhaustive. The aim is not to represent the entire governance literature, but to compare influential models that each capture a distinct route toward control over AI systems.</ns0:t>
      </ns0:r>
    </ns0:p>
    <ns0:p>
      <ns0:pPr>
        <ns0:pStyle ns0:val="Normal"/>
        <ns0:rPr/>
      </ns0:pPr>
      <ns0:r>
        <ns0:rPr/>
        <ns0:t>Because the study is designed for a short conference paper, the empirical strategy is a qualitative comparative document analysis. Each source text was read with attention to explicit provisions or institutional proposals concerning who may decide, who may intervene, who may contest decisions, and how oversight persists after deployment. The unit of analysis is therefore the governance model as articulated in the source text, not the downstream empirical performance of any specific organization that may later adopt it.</ns0:t>
      </ns0:r>
    </ns0:p>
    <ns0:p>
      <ns0:pPr>
        <ns0:pStyle ns0:val="Normal"/>
        <ns0:rPr/>
      </ns0:pPr>
      <ns0:r>
        <ns0:rPr/>
      </ns0:r>
    </ns0:p>
    <ns0:p>
      <ns0:pPr>
        <ns0:pStyle ns0:val="heading21"/>
        <ns0:numPr>
          <ns0:ilvl ns0:val="1"/>
          <ns0:numId ns0:val="4"/>
        </ns0:numPr>
        <ns0:spacing ns0:before="0" ns0:after="160"/>
        <ns0:ind ns0:hanging="567" ns0:left="567"/>
        <ns0:rPr/>
      </ns0:pPr>
      <ns0:r>
        <ns0:rPr/>
        <ns0:t>Coding scheme</ns0:t>
      </ns0:r>
    </ns0:p>
    <ns0:p>
      <ns0:pPr>
        <ns0:pStyle ns0:val="p1a"/>
        <ns0:rPr/>
      </ns0:pPr>
      <ns0:r>
        <ns0:rPr/>
        <ns0:t>The coding scheme uses four dimensions. Decisional plurality asks whether authority is distributed across more than one meaningful center. Citizen contestability asks whether affected persons or publics are given intelligible channels to question, challenge, or redirect AI-mediated decisions. Runtime oversight asks whether the model contains explicit arrangements for monitoring and intervention during use, not just before deployment. Public participation asks whether lay publics or civil society actors are institutionally included in governance rather than merely informed after the fact.</ns0:t>
      </ns0:r>
    </ns0:p>
    <ns0:p>
      <ns0:pPr>
        <ns0:pStyle ns0:val="Normal"/>
        <ns0:rPr/>
      </ns0:pPr>
      <ns0:r>
        <ns0:rPr/>
        <ns0:t>Each dimension is scored on a three-point scale. 0 when the dimension is absent or merely rhetorical, 1 when it is partially specified, and 2 when the source contains explicit provisions or actionable institutional design. The scoring is interpretive and intentionally modest. This paper does not claim inter-coder reliability or statistical generalization. Its value lies in disciplined comparison across a tightly bounded sample of contemporary models.</ns0:t>
      </ns0:r>
    </ns0:p>
    <ns0:p>
      <ns0:pPr>
        <ns0:pStyle ns0:val="Normal"/>
        <ns0:rPr/>
      </ns0:pPr>
      <ns0:r>
        <ns0:rPr/>
      </ns0:r>
    </ns0:p>
    <ns0:p>
      <ns0:pPr>
        <ns0:pStyle ns0:val="Normal"/>
        <ns0:rPr/>
      </ns0:pPr>
      <ns0:r>
        <ns0:rPr/>
      </ns0:r>
    </ns0:p>
    <ns0:p>
      <ns0:pPr>
        <ns0:pStyle ns0:val="heading11"/>
        <ns0:numPr>
          <ns0:ilvl ns0:val="0"/>
          <ns0:numId ns0:val="4"/>
        </ns0:numPr>
        <ns0:ind ns0:hanging="567" ns0:left="567"/>
        <ns0:rPr/>
      </ns0:pPr>
      <ns0:r>
        <ns0:rPr/>
        <ns0:t>Results</ns0:t>
      </ns0:r>
    </ns0:p>
    <ns0:p>
      <ns0:pPr>
        <ns0:pStyle ns0:val="p1a"/>
        <ns0:rPr/>
      </ns0:pPr>
      <ns0:r>
        <ns0:rPr/>
        <ns0:t>The comparative reading yields a clear pattern. Official institutional frameworks remain strongest where legal duties, risk management, documentation, and supervisory roles are concerned. Participatory frameworks are strongest on inclusion and legitimacy. Coordination-centered approaches are strongest on the runtime problem of distributed agency. What is missing across the corpus is a single model that unifies these three strengths into one coherent architecture of control.</ns0:t>
      </ns0:r>
    </ns0:p>
    <ns0:p>
      <ns0:pPr>
        <ns0:pStyle ns0:val="tablecaption"/>
        <ns0:rPr/>
      </ns0:pPr>
      <ns0:r>
        <ns0:rPr/>
        <ns0:t>Table 1. Strengths and blind spots of the six governance models in the corpus.</ns0:t>
      </ns0:r>
    </ns0:p>
    <ns0:tbl>
      <ns0:tblPr>
        <ns0:tblW ns0:w="6870" ns0:type="dxa"/>
        <ns0:jc ns0:val="center"/>
        <ns0:tblInd ns0:w="0" ns0:type="dxa"/>
        <ns0:tblLayout ns0:type="fixed"/>
        <ns0:tblCellMar>
          <ns0:top ns0:w="0" ns0:type="dxa"/>
          <ns0:left ns0:w="70" ns0:type="dxa"/>
          <ns0:bottom ns0:w="0" ns0:type="dxa"/>
          <ns0:right ns0:w="70" ns0:type="dxa"/>
        </ns0:tblCellMar>
        <ns0:tblLook ns0:val="0000" ns0:noVBand="0" ns0:noHBand="0" ns0:lastColumn="0" ns0:firstColumn="0" ns0:lastRow="0" ns0:firstRow="0"/>
      </ns0:tblPr>
      <ns0:tblGrid>
        <ns0:gridCol ns0:w="1637"/>
        <ns0:gridCol ns0:w="3448"/>
        <ns0:gridCol ns0:w="1785"/>
      </ns0:tblGrid>
      <ns0:tr>
        <ns0:trPr/>
        <ns0:tc>
          <ns0:tcPr>
            <ns0:tcW ns0:w="1637" ns0:type="dxa"/>
            <ns0:tcBorders>
              <ns0:top ns0:val="single" ns0:sz="12" ns0:space="0" ns0:color="000000"/>
              <ns0:bottom ns0:val="single" ns0:sz="6" ns0:space="0" ns0:color="000000"/>
            </ns0:tcBorders>
          </ns0:tcPr>
          <ns0:p>
            <ns0:pPr>
              <ns0:pStyle ns0:val="Normal"/>
              <ns0:jc ns0:val="left"/>
              <ns0:rPr/>
            </ns0:pPr>
            <ns0:r>
              <ns0:rPr/>
              <ns0:t>Model</ns0:t>
            </ns0:r>
          </ns0:p>
        </ns0:tc>
        <ns0:tc>
          <ns0:tcPr>
            <ns0:tcW ns0:w="3448" ns0:type="dxa"/>
            <ns0:tcBorders>
              <ns0:top ns0:val="single" ns0:sz="12" ns0:space="0" ns0:color="000000"/>
              <ns0:bottom ns0:val="single" ns0:sz="6" ns0:space="0" ns0:color="000000"/>
            </ns0:tcBorders>
          </ns0:tcPr>
          <ns0:p>
            <ns0:pPr>
              <ns0:pStyle ns0:val="Normal"/>
              <ns0:jc ns0:val="left"/>
              <ns0:rPr/>
            </ns0:pPr>
            <ns0:r>
              <ns0:rPr/>
              <ns0:t>Dominant strength</ns0:t>
            </ns0:r>
          </ns0:p>
        </ns0:tc>
        <ns0:tc>
          <ns0:tcPr>
            <ns0:tcW ns0:w="1785" ns0:type="dxa"/>
            <ns0:tcBorders>
              <ns0:top ns0:val="single" ns0:sz="12" ns0:space="0" ns0:color="000000"/>
              <ns0:bottom ns0:val="single" ns0:sz="6" ns0:space="0" ns0:color="000000"/>
            </ns0:tcBorders>
          </ns0:tcPr>
          <ns0:p>
            <ns0:pPr>
              <ns0:pStyle ns0:val="Normal"/>
              <ns0:ind ns0:hanging="0"/>
              <ns0:jc ns0:val="left"/>
              <ns0:rPr/>
            </ns0:pPr>
            <ns0:r>
              <ns0:rPr/>
              <ns0:t>Dominant blind spot</ns0:t>
            </ns0:r>
          </ns0:p>
        </ns0:tc>
      </ns0:tr>
      <ns0:tr>
        <ns0:trPr>
          <ns0:trHeight ns0:val="284" ns0:hRule="atLeast"/>
        </ns0:trPr>
        <ns0:tc>
          <ns0:tcPr>
            <ns0:tcW ns0:w="1637" ns0:type="dxa"/>
            <ns0:tcBorders/>
            <ns0:vAlign ns0:val="center"/>
          </ns0:tcPr>
          <ns0:p>
            <ns0:pPr>
              <ns0:pStyle ns0:val="Normal"/>
              <ns0:ind ns0:hanging="0"/>
              <ns0:jc ns0:val="left"/>
              <ns0:rPr/>
            </ns0:pPr>
            <ns0:r>
              <ns0:rPr/>
              <ns0:t>EU AI Act</ns0:t>
            </ns0:r>
          </ns0:p>
        </ns0:tc>
        <ns0:tc>
          <ns0:tcPr>
            <ns0:tcW ns0:w="3448" ns0:type="dxa"/>
            <ns0:tcBorders/>
            <ns0:vAlign ns0:val="center"/>
          </ns0:tcPr>
          <ns0:p>
            <ns0:pPr>
              <ns0:pStyle ns0:val="Normal"/>
              <ns0:ind ns0:hanging="0"/>
              <ns0:jc ns0:val="left"/>
              <ns0:rPr/>
            </ns0:pPr>
            <ns0:r>
              <ns0:rPr/>
              <ns0:t>Enforceable lifecycle duties and supervision</ns0:t>
            </ns0:r>
          </ns0:p>
        </ns0:tc>
        <ns0:tc>
          <ns0:tcPr>
            <ns0:tcW ns0:w="1785" ns0:type="dxa"/>
            <ns0:tcBorders/>
            <ns0:vAlign ns0:val="center"/>
          </ns0:tcPr>
          <ns0:p>
            <ns0:pPr>
              <ns0:pStyle ns0:val="Normal"/>
              <ns0:ind ns0:hanging="0"/>
              <ns0:jc ns0:val="left"/>
              <ns0:rPr/>
            </ns0:pPr>
            <ns0:r>
              <ns0:rPr/>
              <ns0:t>Limited direct citizen contestability</ns0:t>
            </ns0:r>
          </ns0:p>
        </ns0:tc>
      </ns0:tr>
      <ns0:tr>
        <ns0:trPr>
          <ns0:trHeight ns0:val="284" ns0:hRule="atLeast"/>
        </ns0:trPr>
        <ns0:tc>
          <ns0:tcPr>
            <ns0:tcW ns0:w="1637" ns0:type="dxa"/>
            <ns0:tcBorders/>
            <ns0:vAlign ns0:val="center"/>
          </ns0:tcPr>
          <ns0:p>
            <ns0:pPr>
              <ns0:pStyle ns0:val="Normal"/>
              <ns0:ind ns0:hanging="0"/>
              <ns0:jc ns0:val="left"/>
              <ns0:rPr/>
            </ns0:pPr>
            <ns0:r>
              <ns0:rPr/>
            </ns0:r>
          </ns0:p>
          <ns0:p>
            <ns0:pPr>
              <ns0:pStyle ns0:val="Normal"/>
              <ns0:ind ns0:hanging="0"/>
              <ns0:jc ns0:val="left"/>
              <ns0:rPr/>
            </ns0:pPr>
            <ns0:r>
              <ns0:rPr/>
              <ns0:t>NIST AI RMF</ns0:t>
            </ns0:r>
          </ns0:p>
        </ns0:tc>
        <ns0:tc>
          <ns0:tcPr>
            <ns0:tcW ns0:w="3448" ns0:type="dxa"/>
            <ns0:tcBorders/>
            <ns0:vAlign ns0:val="center"/>
          </ns0:tcPr>
          <ns0:p>
            <ns0:pPr>
              <ns0:pStyle ns0:val="Normal"/>
              <ns0:ind ns0:hanging="0"/>
              <ns0:jc ns0:val="left"/>
              <ns0:rPr/>
            </ns0:pPr>
            <ns0:r>
              <ns0:rPr/>
            </ns0:r>
          </ns0:p>
          <ns0:p>
            <ns0:pPr>
              <ns0:pStyle ns0:val="Normal"/>
              <ns0:ind ns0:hanging="0"/>
              <ns0:jc ns0:val="left"/>
              <ns0:rPr/>
            </ns0:pPr>
            <ns0:r>
              <ns0:rPr/>
              <ns0:t>Operational risk language and monitoring logic</ns0:t>
            </ns0:r>
          </ns0:p>
        </ns0:tc>
        <ns0:tc>
          <ns0:tcPr>
            <ns0:tcW ns0:w="1785" ns0:type="dxa"/>
            <ns0:tcBorders/>
            <ns0:vAlign ns0:val="center"/>
          </ns0:tcPr>
          <ns0:p>
            <ns0:pPr>
              <ns0:pStyle ns0:val="Normal"/>
              <ns0:ind ns0:hanging="0"/>
              <ns0:jc ns0:val="left"/>
              <ns0:rPr/>
            </ns0:pPr>
            <ns0:r>
              <ns0:rPr/>
            </ns0:r>
          </ns0:p>
          <ns0:p>
            <ns0:pPr>
              <ns0:pStyle ns0:val="Normal"/>
              <ns0:ind ns0:hanging="0"/>
              <ns0:jc ns0:val="left"/>
              <ns0:rPr/>
            </ns0:pPr>
            <ns0:r>
              <ns0:rPr/>
              <ns0:t>Voluntary and organization-centered</ns0:t>
            </ns0:r>
          </ns0:p>
        </ns0:tc>
      </ns0:tr>
      <ns0:tr>
        <ns0:trPr>
          <ns0:trHeight ns0:val="284" ns0:hRule="atLeast"/>
        </ns0:trPr>
        <ns0:tc>
          <ns0:tcPr>
            <ns0:tcW ns0:w="1637" ns0:type="dxa"/>
            <ns0:tcBorders/>
            <ns0:vAlign ns0:val="center"/>
          </ns0:tcPr>
          <ns0:p>
            <ns0:pPr>
              <ns0:pStyle ns0:val="Normal"/>
              <ns0:ind ns0:hanging="0"/>
              <ns0:jc ns0:val="left"/>
              <ns0:rPr/>
            </ns0:pPr>
            <ns0:r>
              <ns0:rPr/>
              <ns0:t>UN AI initiatives</ns0:t>
            </ns0:r>
          </ns0:p>
        </ns0:tc>
        <ns0:tc>
          <ns0:tcPr>
            <ns0:tcW ns0:w="3448" ns0:type="dxa"/>
            <ns0:tcBorders/>
            <ns0:vAlign ns0:val="center"/>
          </ns0:tcPr>
          <ns0:p>
            <ns0:pPr>
              <ns0:pStyle ns0:val="Normal"/>
              <ns0:ind ns0:hanging="0"/>
              <ns0:jc ns0:val="left"/>
              <ns0:rPr/>
            </ns0:pPr>
            <ns0:r>
              <ns0:rPr/>
              <ns0:t>Global multi-stakeholder legitimacy</ns0:t>
            </ns0:r>
          </ns0:p>
        </ns0:tc>
        <ns0:tc>
          <ns0:tcPr>
            <ns0:tcW ns0:w="1785" ns0:type="dxa"/>
            <ns0:tcBorders/>
            <ns0:vAlign ns0:val="center"/>
          </ns0:tcPr>
          <ns0:p>
            <ns0:pPr>
              <ns0:pStyle ns0:val="Normal"/>
              <ns0:ind ns0:hanging="0"/>
              <ns0:jc ns0:val="left"/>
              <ns0:rPr/>
            </ns0:pPr>
            <ns0:r>
              <ns0:rPr/>
            </ns0:r>
          </ns0:p>
          <ns0:p>
            <ns0:pPr>
              <ns0:pStyle ns0:val="Normal"/>
              <ns0:ind ns0:hanging="0"/>
              <ns0:jc ns0:val="left"/>
              <ns0:rPr/>
            </ns0:pPr>
            <ns0:r>
              <ns0:rPr/>
              <ns0:t>Weak enforcement and runtime intervention</ns0:t>
            </ns0:r>
          </ns0:p>
        </ns0:tc>
      </ns0:tr>
      <ns0:tr>
        <ns0:trPr>
          <ns0:trHeight ns0:val="284" ns0:hRule="atLeast"/>
        </ns0:trPr>
        <ns0:tc>
          <ns0:tcPr>
            <ns0:tcW ns0:w="1637" ns0:type="dxa"/>
            <ns0:tcBorders/>
            <ns0:vAlign ns0:val="center"/>
          </ns0:tcPr>
          <ns0:p>
            <ns0:pPr>
              <ns0:pStyle ns0:val="Normal"/>
              <ns0:ind ns0:hanging="0"/>
              <ns0:jc ns0:val="left"/>
              <ns0:rPr/>
            </ns0:pPr>
            <ns0:r>
              <ns0:rPr/>
              <ns0:t>Taylor et al.</ns0:t>
            </ns0:r>
          </ns0:p>
        </ns0:tc>
        <ns0:tc>
          <ns0:tcPr>
            <ns0:tcW ns0:w="3448" ns0:type="dxa"/>
            <ns0:tcBorders/>
            <ns0:vAlign ns0:val="center"/>
          </ns0:tcPr>
          <ns0:p>
            <ns0:pPr>
              <ns0:pStyle ns0:val="Normal"/>
              <ns0:ind ns0:hanging="0"/>
              <ns0:jc ns0:val="left"/>
              <ns0:rPr/>
            </ns0:pPr>
            <ns0:r>
              <ns0:rPr/>
              <ns0:t>Strongest participation design</ns0:t>
            </ns0:r>
          </ns0:p>
        </ns0:tc>
        <ns0:tc>
          <ns0:tcPr>
            <ns0:tcW ns0:w="1785" ns0:type="dxa"/>
            <ns0:tcBorders/>
            <ns0:vAlign ns0:val="center"/>
          </ns0:tcPr>
          <ns0:p>
            <ns0:pPr>
              <ns0:pStyle ns0:val="Normal"/>
              <ns0:ind ns0:hanging="0"/>
              <ns0:jc ns0:val="left"/>
              <ns0:rPr/>
            </ns0:pPr>
            <ns0:r>
              <ns0:rPr/>
            </ns0:r>
          </ns0:p>
          <ns0:p>
            <ns0:pPr>
              <ns0:pStyle ns0:val="Normal"/>
              <ns0:ind ns0:hanging="0"/>
              <ns0:jc ns0:val="left"/>
              <ns0:rPr/>
            </ns0:pPr>
            <ns0:r>
              <ns0:rPr/>
              <ns0:t>Thin technical lifecycle governance</ns0:t>
            </ns0:r>
          </ns0:p>
        </ns0:tc>
      </ns0:tr>
      <ns0:tr>
        <ns0:trPr>
          <ns0:trHeight ns0:val="284" ns0:hRule="atLeast"/>
        </ns0:trPr>
        <ns0:tc>
          <ns0:tcPr>
            <ns0:tcW ns0:w="1637" ns0:type="dxa"/>
            <ns0:tcBorders/>
            <ns0:vAlign ns0:val="center"/>
          </ns0:tcPr>
          <ns0:p>
            <ns0:pPr>
              <ns0:pStyle ns0:val="Normal"/>
              <ns0:ind ns0:hanging="0"/>
              <ns0:jc ns0:val="left"/>
              <ns0:rPr/>
            </ns0:pPr>
            <ns0:r>
              <ns0:rPr/>
              <ns0:t>Allen et al.</ns0:t>
            </ns0:r>
          </ns0:p>
        </ns0:tc>
        <ns0:tc>
          <ns0:tcPr>
            <ns0:tcW ns0:w="3448" ns0:type="dxa"/>
            <ns0:tcBorders/>
            <ns0:vAlign ns0:val="center"/>
          </ns0:tcPr>
          <ns0:p>
            <ns0:pPr>
              <ns0:pStyle ns0:val="Normal"/>
              <ns0:ind ns0:hanging="0"/>
              <ns0:jc ns0:val="left"/>
              <ns0:rPr/>
            </ns0:pPr>
            <ns0:r>
              <ns0:rPr/>
              <ns0:t>Most explicit redistribution of power</ns0:t>
            </ns0:r>
          </ns0:p>
        </ns0:tc>
        <ns0:tc>
          <ns0:tcPr>
            <ns0:tcW ns0:w="1785" ns0:type="dxa"/>
            <ns0:tcBorders/>
            <ns0:vAlign ns0:val="center"/>
          </ns0:tcPr>
          <ns0:p>
            <ns0:pPr>
              <ns0:pStyle ns0:val="Normal"/>
              <ns0:ind ns0:hanging="0"/>
              <ns0:jc ns0:val="left"/>
              <ns0:rPr/>
            </ns0:pPr>
            <ns0:r>
              <ns0:rPr/>
            </ns0:r>
          </ns0:p>
          <ns0:p>
            <ns0:pPr>
              <ns0:pStyle ns0:val="Normal"/>
              <ns0:ind ns0:hanging="0"/>
              <ns0:jc ns0:val="left"/>
              <ns0:rPr/>
            </ns0:pPr>
            <ns0:r>
              <ns0:rPr/>
              <ns0:t>Limited implementation detail</ns0:t>
            </ns0:r>
          </ns0:p>
        </ns0:tc>
      </ns0:tr>
      <ns0:tr>
        <ns0:trPr>
          <ns0:trHeight ns0:val="284" ns0:hRule="atLeast"/>
        </ns0:trPr>
        <ns0:tc>
          <ns0:tcPr>
            <ns0:tcW ns0:w="1637" ns0:type="dxa"/>
            <ns0:tcBorders/>
            <ns0:vAlign ns0:val="center"/>
          </ns0:tcPr>
          <ns0:p>
            <ns0:pPr>
              <ns0:pStyle ns0:val="Normal"/>
              <ns0:ind ns0:hanging="0"/>
              <ns0:jc ns0:val="left"/>
              <ns0:rPr/>
            </ns0:pPr>
            <ns0:r>
              <ns0:rPr/>
              <ns0:t>Bohr</ns0:t>
            </ns0:r>
          </ns0:p>
        </ns0:tc>
        <ns0:tc>
          <ns0:tcPr>
            <ns0:tcW ns0:w="3448" ns0:type="dxa"/>
            <ns0:tcBorders/>
            <ns0:vAlign ns0:val="center"/>
          </ns0:tcPr>
          <ns0:p>
            <ns0:pPr>
              <ns0:pStyle ns0:val="Normal"/>
              <ns0:ind ns0:hanging="0"/>
              <ns0:jc ns0:val="left"/>
              <ns0:rPr/>
            </ns0:pPr>
            <ns0:r>
              <ns0:rPr/>
            </ns0:r>
          </ns0:p>
          <ns0:p>
            <ns0:pPr>
              <ns0:pStyle ns0:val="Normal"/>
              <ns0:ind ns0:hanging="0"/>
              <ns0:jc ns0:val="left"/>
              <ns0:rPr/>
            </ns0:pPr>
            <ns0:r>
              <ns0:rPr/>
              <ns0:t>Strongest runtime coordination requirement</ns0:t>
            </ns0:r>
          </ns0:p>
        </ns0:tc>
        <ns0:tc>
          <ns0:tcPr>
            <ns0:tcW ns0:w="1785" ns0:type="dxa"/>
            <ns0:tcBorders/>
            <ns0:vAlign ns0:val="center"/>
          </ns0:tcPr>
          <ns0:p>
            <ns0:pPr>
              <ns0:pStyle ns0:val="Normal"/>
              <ns0:ind ns0:hanging="0"/>
              <ns0:jc ns0:val="left"/>
              <ns0:rPr/>
            </ns0:pPr>
            <ns0:r>
              <ns0:rPr/>
            </ns0:r>
          </ns0:p>
          <ns0:p>
            <ns0:pPr>
              <ns0:pStyle ns0:val="Normal"/>
              <ns0:ind ns0:hanging="0"/>
              <ns0:jc ns0:val="left"/>
              <ns0:rPr/>
            </ns0:pPr>
            <ns0:r>
              <ns0:rPr/>
              <ns0:t>Weak democratic institutionalization</ns0:t>
            </ns0:r>
          </ns0:p>
        </ns0:tc>
      </ns0:tr>
    </ns0:tbl>
    <ns0:p>
      <ns0:pPr>
        <ns0:pStyle ns0:val="Normal"/>
        <ns0:rPr/>
      </ns0:pPr>
      <ns0:r>
        <ns0:rPr/>
      </ns0:r>
    </ns0:p>
    <ns0:p>
      <ns0:pPr>
        <ns0:pStyle ns0:val="Normal"/>
        <ns0:rPr/>
      </ns0:pPr>
      <ns0:r>
        <ns0:rPr/>
      </ns0:r>
    </ns0:p>
    <ns0:p>
      <ns0:pPr>
        <ns0:pStyle ns0:val="Normal"/>
        <ns0:rPr/>
      </ns0:pPr>
      <ns0:r>
        <ns0:rPr/>
        <ns0:t>On the four-dimension coding scheme, Allen et al.'s roadmap is the strongest single proposal because it most clearly reframes AI governance as a question about the distribution of power [4]. Taylor et al. provide the strongest public participation design, especially for the public-sector setting [5]. The EU AI Act and the NIST profile are more practical for organizational compliance, but they remain weak on direct citizen contestability [8,9]. The UN initiatives broaden multi-stakeholder legitimacy, yet they do not by themselves specify strong enforcement or runtime intervention capacity [10]. Bohr's account of coordination transparency is analytically powerful because it identifies a neglected control problem, namely the opacity of distributed interactions across technical and organizational layers [6].</ns0:t>
      </ns0:r>
    </ns0:p>
    <ns0:p>
      <ns0:pPr>
        <ns0:pStyle ns0:val="Normal"/>
        <ns0:rPr/>
      </ns0:pPr>
      <ns0:r>
        <ns0:rPr/>
      </ns0:r>
    </ns0:p>
    <ns0:p>
      <ns0:pPr>
        <ns0:pStyle ns0:val="Normal"/>
        <ns0:rPr/>
      </ns0:pPr>
      <ns0:r>
        <ns0:rPr/>
      </ns0:r>
    </ns0:p>
    <ns0:p>
      <ns0:pPr>
        <ns0:pStyle ns0:val="heading21"/>
        <ns0:numPr>
          <ns0:ilvl ns0:val="1"/>
          <ns0:numId ns0:val="4"/>
        </ns0:numPr>
        <ns0:spacing ns0:before="0" ns0:after="160"/>
        <ns0:ind ns0:hanging="567" ns0:left="567"/>
        <ns0:rPr/>
      </ns0:pPr>
      <ns0:r>
        <ns0:rPr/>
        <ns0:t>Three recurrent incompletenesses</ns0:t>
      </ns0:r>
    </ns0:p>
    <ns0:p>
      <ns0:pPr>
        <ns0:pStyle ns0:val="p1a"/>
        <ns0:rPr/>
      </ns0:pPr>
      <ns0:r>
        <ns0:rPr/>
        <ns0:t>The first incompleteness is compliance without democratization. The EU AI Act and the NIST profile offer vocabulary, procedures, and documentation that can discipline organizations, but they do not by themselves guarantee strong public participation or low-friction contestability. The second incompleteness is participation without runtime control. Taylor et al. and the UN initiatives show how governance can become more inclusive, but they provide less detail on how intervention rights are preserved when AI systems continue learning, interacting, or coordinating after deployment. The third incompleteness is coordination without institutional embedding. Bohr identifies the need for coordination transparency, but that insight remains weak unless linked to legal duties, escalation pathways, and public-facing oversight.</ns0:t>
      </ns0:r>
    </ns0:p>
    <ns0:p>
      <ns0:pPr>
        <ns0:pStyle ns0:val="Normal"/>
        <ns0:rPr/>
      </ns0:pPr>
      <ns0:r>
        <ns0:rPr/>
        <ns0:t>Taken together, these results suggest that the relevant contrast is not between centralized and polycentric governance in the abstract. The more useful contrast is between shallow polycentricity, where many actors comment on AI, and effective polycentric control, where authority, contestation, and intervention are genuinely redistributed. That is the point at which polycentric governance becomes more than a legitimizing metaphor.</ns0:t>
      </ns0:r>
    </ns0:p>
    <ns0:p>
      <ns0:pPr>
        <ns0:pStyle ns0:val="Normal"/>
        <ns0:rPr/>
      </ns0:pPr>
      <ns0:r>
        <ns0:rPr/>
      </ns0:r>
    </ns0:p>
    <ns0:p>
      <ns0:pPr>
        <ns0:pStyle ns0:val="Normal"/>
        <ns0:rPr/>
      </ns0:pPr>
      <ns0:r>
        <ns0:rPr/>
      </ns0:r>
    </ns0:p>
    <ns0:p>
      <ns0:pPr>
        <ns0:pStyle ns0:val="heading11"/>
        <ns0:numPr>
          <ns0:ilvl ns0:val="0"/>
          <ns0:numId ns0:val="4"/>
        </ns0:numPr>
        <ns0:ind ns0:hanging="567" ns0:left="567"/>
        <ns0:rPr/>
      </ns0:pPr>
      <ns0:r>
        <ns0:rPr/>
        <ns0:t>Discussion</ns0:t>
      </ns0:r>
    </ns0:p>
    <ns0:p>
      <ns0:pPr>
        <ns0:pStyle ns0:val="p1a"/>
        <ns0:rPr/>
      </ns0:pPr>
      <ns0:r>
        <ns0:rPr/>
        <ns0:t>The study supports a stronger claim than the standard multi-stakeholder formula. Polycentric governance improves AI control only when it links at least three layers that are currently fragmented in the literature and in policy. First, a compliance layer is needed to create enforceable duties, documentation, and supervisory authority. Second, a participatory layer is needed to create legitimate channels for public input, challenge, and revision. Third, a runtime coordination layer is needed to make distributed technical and organizational interactions visible and interruptible. Without all three layers, governance remains partial.</ns0:t>
      </ns0:r>
    </ns0:p>
    <ns0:p>
      <ns0:pPr>
        <ns0:pStyle ns0:val="heading21"/>
        <ns0:numPr>
          <ns0:ilvl ns0:val="1"/>
          <ns0:numId ns0:val="4"/>
        </ns0:numPr>
        <ns0:spacing ns0:before="0" ns0:after="160"/>
        <ns0:ind ns0:hanging="567" ns0:left="567"/>
        <ns0:rPr/>
      </ns0:pPr>
      <ns0:r>
        <ns0:rPr/>
        <ns0:t>5.1 A Hybrid Polycentric Control Model</ns0:t>
      </ns0:r>
    </ns0:p>
    <ns0:p>
      <ns0:pPr>
        <ns0:pStyle ns0:val="p1a"/>
        <ns0:rPr/>
      </ns0:pPr>
      <ns0:r>
        <ns0:rPr/>
        <ns0:t>The Hybrid Polycentric Control model proposed here is therefore not a new institution but a design rule. It specifies that robust AI governance requires the joint presence of legal enforceability, public contestability, and coordination transparency. In practical terms, this implies that risk management documents should be linked to public-facing summaries; that affected parties should have intelligible review and escalation pathways; and that oversight should extend beyond pre-deployment conformity to the runtime interactions that shape outcomes in contemporary sociotechnical systems.</ns0:t>
      </ns0:r>
    </ns0:p>
    <ns0:p>
      <ns0:pPr>
        <ns0:pStyle ns0:val="Normal"/>
        <ns0:rPr/>
      </ns0:pPr>
      <ns0:r>
        <ns0:rPr/>
        <ns0:t>This formulation is especially relevant for human-machine collaboration systems, where the locus of agency is distributed across users, models, interfaces, organizations, and institutional rules. In such environments, human oversight cannot be reduced to a single person in the loop. It depends on whether multiple actors can see, question, and interrupt the coordination structure itself. That is why coordination transparency should be treated as a democratic design requirement rather than a purely technical feature [6].</ns0:t>
      </ns0:r>
    </ns0:p>
    <ns0:p>
      <ns0:pPr>
        <ns0:pStyle ns0:val="Normal"/>
        <ns0:rPr/>
      </ns0:pPr>
      <ns0:r>
        <ns0:rPr/>
      </ns0:r>
    </ns0:p>
    <ns0:p>
      <ns0:pPr>
        <ns0:pStyle ns0:val="Normal"/>
        <ns0:rPr/>
      </ns0:pPr>
      <ns0:r>
        <ns0:rPr/>
      </ns0:r>
    </ns0:p>
    <ns0:p>
      <ns0:pPr>
        <ns0:pStyle ns0:val="heading21"/>
        <ns0:numPr>
          <ns0:ilvl ns0:val="1"/>
          <ns0:numId ns0:val="4"/>
        </ns0:numPr>
        <ns0:spacing ns0:before="0" ns0:after="160"/>
        <ns0:ind ns0:hanging="567" ns0:left="567"/>
        <ns0:rPr/>
      </ns0:pPr>
      <ns0:r>
        <ns0:rPr/>
        <ns0:t>Limitations</ns0:t>
      </ns0:r>
    </ns0:p>
    <ns0:p>
      <ns0:pPr>
        <ns0:pStyle ns0:val="p1a"/>
        <ns0:rPr/>
      </ns0:pPr>
      <ns0:r>
        <ns0:rPr/>
        <ns0:t>The study has obvious limits. The corpus is small and purposefully selected. The coding is interpretive and does not rely on inter-coder agreement. The paper analyzes governance models as documents rather than tracing their adoption in real organizations. These limits matter, but they do not undermine the central contribution. For a short conference paper, the comparison is sufficient to show that current governance debates repeatedly separate inclusion, enforceability, and runtime control, even though democratic AI governance requires their integration.</ns0:t>
      </ns0:r>
    </ns0:p>
    <ns0:p>
      <ns0:pPr>
        <ns0:pStyle ns0:val="Normal"/>
        <ns0:rPr/>
      </ns0:pPr>
      <ns0:r>
        <ns0:rPr/>
      </ns0:r>
    </ns0:p>
    <ns0:p>
      <ns0:pPr>
        <ns0:pStyle ns0:val="Normal"/>
        <ns0:rPr/>
      </ns0:pPr>
      <ns0:r>
        <ns0:rPr/>
      </ns0:r>
    </ns0:p>
    <ns0:p>
      <ns0:pPr>
        <ns0:pStyle ns0:val="heading11"/>
        <ns0:numPr>
          <ns0:ilvl ns0:val="0"/>
          <ns0:numId ns0:val="4"/>
        </ns0:numPr>
        <ns0:ind ns0:hanging="567" ns0:left="567"/>
        <ns0:rPr/>
      </ns0:pPr>
      <ns0:r>
        <ns0:rPr/>
        <ns0:t>Conclusion</ns0:t>
      </ns0:r>
    </ns0:p>
    <ns0:p>
      <ns0:pPr>
        <ns0:pStyle ns0:val="p1a"/>
        <ns0:rPr/>
      </ns0:pPr>
      <ns0:r>
        <ns0:rPr/>
        <ns0:t>Polycentric governance should not be treated as a synonym for stakeholder multiplicity. The comparative analysis presented here shows that real democratic control over AI depends on a more demanding institutional combination, say, multiple decision centers, credible channels for contestation, and continuous visibility into distributed coordination. Current governance models each illuminate one part of that problem, but none solves it alone. The practical implication is straightforward for us. Future AI governance should be designed not only to assign responsibility, but also to redistribute control in ways that remain visible, challengeable, and interruptible over time.</ns0:t>
      </ns0:r>
    </ns0:p>
    <ns0:p>
      <ns0:pPr>
        <ns0:pStyle ns0:val="acknowlegments"/>
        <ns0:rPr>
          <ns0:b/>
          <ns0:bCs/>
        </ns0:rPr>
      </ns0:pPr>
      <ns0:r>
        <ns0:rPr/>
        <ns0:t>Disclosure of Interests. The authors have no competing interests to declare that are relevant to the content of this article.</ns0:t>
      </ns0:r>
    </ns0:p>
    <ns0:p>
      <ns0:pPr>
        <ns0:pStyle ns0:val="acknowlegments"/>
        <ns0:rPr>
          <ns0:b/>
          <ns0:bCs/>
        </ns0:rPr>
      </ns0:pPr>
      <ns0:r>
        <ns0:rPr>
          <ns0:b/>
          <ns0:bCs/>
        </ns0:rPr>
      </ns0:r>
    </ns0:p>
    <ns0:p>
      <ns0:pPr>
        <ns0:pStyle ns0:val="acknowlegments"/>
        <ns0:rPr>
          <ns0:b/>
          <ns0:bCs/>
        </ns0:rPr>
      </ns0:pPr>
      <ns0:r>
        <ns0:rPr>
          <ns0:b/>
          <ns0:bCs/>
        </ns0:rPr>
      </ns0:r>
    </ns0:p>
    <ns0:p>
      <ns0:pPr>
        <ns0:pStyle ns0:val="acknowlegments"/>
        <ns0:rPr>
          <ns0:b/>
          <ns0:bCs/>
        </ns0:rPr>
      </ns0:pPr>
      <ns0:r>
        <ns0:rPr>
          <ns0:b/>
          <ns0:bCs/>
        </ns0:rPr>
      </ns0:r>
    </ns0:p>
    <ns0:p>
      <ns0:pPr>
        <ns0:pStyle ns0:val="acknowlegments"/>
        <ns0:rPr>
          <ns0:b/>
          <ns0:bCs/>
        </ns0:rPr>
      </ns0:pPr>
      <ns0:r>
        <ns0:rPr>
          <ns0:b/>
          <ns0:bCs/>
        </ns0:rPr>
      </ns0:r>
    </ns0:p>
    <ns0:p>
      <ns0:pPr>
        <ns0:pStyle ns0:val="heading11"/>
        <ns0:numPr>
          <ns0:ilvl ns0:val="0"/>
          <ns0:numId ns0:val="4"/>
        </ns0:numPr>
        <ns0:ind ns0:hanging="567" ns0:left="567"/>
        <ns0:rPr/>
      </ns0:pPr>
      <ns0:r>
        <ns0:rPr/>
        <ns0:t>References</ns0:t>
      </ns0:r>
    </ns0:p>
    <ns0:p>
      <ns0:pPr>
        <ns0:pStyle ns0:val="referenceitem"/>
        <ns0:numPr>
          <ns0:ilvl ns0:val="0"/>
          <ns0:numId ns0:val="5"/>
        </ns0:numPr>
        <ns0:rPr/>
      </ns0:pPr>
      <ns0:r>
        <ns0:rPr/>
        <ns0:t>Ostrom, E.: Beyond markets and states: polycentric governance of complex economic systems. American Economic Review 100(3), 641-672 (2010)</ns0:t>
      </ns0:r>
    </ns0:p>
    <ns0:p>
      <ns0:pPr>
        <ns0:pStyle ns0:val="referenceitem"/>
        <ns0:numPr>
          <ns0:ilvl ns0:val="0"/>
          <ns0:numId ns0:val="5"/>
        </ns0:numPr>
        <ns0:rPr/>
      </ns0:pPr>
      <ns0:r>
        <ns0:rPr/>
        <ns0:t>Coeckelbergh M. Artificial intelligence, the common good, and the democratic deficit in AI governance. AI and Ethics. 2025 5(2):1491-7. https://doi.org/10.1007/s43681-024-00492-9</ns0:t>
      </ns0:r>
    </ns0:p>
    <ns0:p>
      <ns0:pPr>
        <ns0:pStyle ns0:val="referenceitem"/>
        <ns0:numPr>
          <ns0:ilvl ns0:val="0"/>
          <ns0:numId ns0:val="5"/>
        </ns0:numPr>
        <ns0:rPr/>
      </ns0:pPr>
      <ns0:r>
        <ns0:rPr/>
        <ns0:t xml:space="preserve">Batool A, Zowghi D, Bano M. AI governance: a systematic literature review. AI and Ethics. 2025 Jun;5(3):3265-79. </ns0:t>
      </ns0:r>
      <ns0:hyperlink ns2:id="rId2">
        <ns0:r>
          <ns0:rPr>
            <ns0:rStyle ns0:val="Hyperlink"/>
          </ns0:rPr>
          <ns0:t>https://doi.org/10.1007/s43681-024-00653-w</ns0:t>
        </ns0:r>
      </ns0:hyperlink>
    </ns0:p>
    <ns0:p>
      <ns0:pPr>
        <ns0:pStyle ns0:val="referenceitem"/>
        <ns0:numPr>
          <ns0:ilvl ns0:val="0"/>
          <ns0:numId ns0:val="5"/>
        </ns0:numPr>
        <ns0:rPr/>
      </ns0:pPr>
      <ns0:r>
        <ns0:rPr/>
        <ns0:t>Allen D, Hubbard S, Lim W, Stanger A, Wagman S, Zalesne K, Omoakhalen O. A roadmap for governing AI: technology governance and power-sharing liberalism. AI and Ethics. 2025 5(3):3355-77.. https://doi.org/10.1007/s43681-024-00635-y</ns0:t>
      </ns0:r>
    </ns0:p>
    <ns0:p>
      <ns0:pPr>
        <ns0:pStyle ns0:val="referenceitem"/>
        <ns0:numPr>
          <ns0:ilvl ns0:val="0"/>
          <ns0:numId ns0:val="5"/>
        </ns0:numPr>
        <ns0:rPr/>
      </ns0:pPr>
      <ns0:r>
        <ns0:rPr/>
        <ns0:t>Taylor RR, Murphy JW, Hoston WT, Senkaiahliyan S. Democratizing AI in public administration: improving equity through maximum feasible participation. AI &amp; society. 2025 40(5):3653-62. https://doi.org/10.1007/s00146-024-02120-w</ns0:t>
      </ns0:r>
    </ns0:p>
    <ns0:p>
      <ns0:pPr>
        <ns0:pStyle ns0:val="referenceitem"/>
        <ns0:numPr>
          <ns0:ilvl ns0:val="0"/>
          <ns0:numId ns0:val="5"/>
        </ns0:numPr>
        <ns0:rPr/>
      </ns0:pPr>
      <ns0:r>
        <ns0:rPr/>
        <ns0:t>Bohr J. Coordination transparency: governing distributed agency in AI systems. AI &amp; SOCIETY. 2026 15:1-1.. https://doi.org/10.1007/s00146-026-02853-w</ns0:t>
      </ns0:r>
    </ns0:p>
    <ns0:p>
      <ns0:pPr>
        <ns0:pStyle ns0:val="referenceitem"/>
        <ns0:numPr>
          <ns0:ilvl ns0:val="0"/>
          <ns0:numId ns0:val="5"/>
        </ns0:numPr>
        <ns0:rPr/>
      </ns0:pPr>
      <ns0:r>
        <ns0:rPr/>
        <ns0:t>Dahlgren Lindström A, Methnani L, Krause L, Ericson P, de Rituerto de Troya ÍM, Coelho Mollo D, Dobbe R. Helpful, harmless, honest? Sociotechnical limits of AI alignment and safety through Reinforcement Learning from Human Feedback. Ethics and Information Technology. 2025 27(2):28. https://doi.org/10.1007/s10676-025-09837-2</ns0:t>
      </ns0:r>
    </ns0:p>
    <ns0:p>
      <ns0:pPr>
        <ns0:pStyle ns0:val="referenceitem"/>
        <ns0:numPr>
          <ns0:ilvl ns0:val="0"/>
          <ns0:numId ns0:val="5"/>
        </ns0:numPr>
        <ns0:rPr/>
      </ns0:pPr>
      <ns0:r>
        <ns0:rPr/>
        <ns0:t>European Union: Regulation (EU) 2024/1689 laying down harmonised rules on artificial intelligence (AI Act). Official Journal of the European Union (2024). https://eur-lex.europa.eu/legal-content/EN-FR/TXT/?from=EN&amp;uri=CELEX%3A32024R1689</ns0:t>
      </ns0:r>
    </ns0:p>
    <ns0:p>
      <ns0:pPr>
        <ns0:pStyle ns0:val="referenceitem"/>
        <ns0:numPr>
          <ns0:ilvl ns0:val="0"/>
          <ns0:numId ns0:val="5"/>
        </ns0:numPr>
        <ns0:rPr/>
      </ns0:pPr>
      <ns0:r>
        <ns0:rPr/>
        <ns0:t>NIST: Artificial Intelligence Risk Management Framework: Generative AI Profile. National Institute of Standards and Technology, Gaithersburg (2024). https://www.nist.gov/publications/artificial-intelligence-risk-management-framework-generative-artificial-intelligence</ns0:t>
      </ns0:r>
    </ns0:p>
    <ns0:p>
      <ns0:pPr>
        <ns0:pStyle ns0:val="referenceitem"/>
        <ns0:numPr>
          <ns0:ilvl ns0:val="0"/>
          <ns0:numId ns0:val="5"/>
        </ns0:numPr>
        <ns0:rPr/>
      </ns0:pPr>
      <ns0:r>
        <ns0:rPr/>
        <ns0:t xml:space="preserve">United Nations: General Assembly establishes Independent International Scientific Panel on AI and Global Dialogue on AI Governance. United Nations, New York (2025). </ns0:t>
      </ns0:r>
      <ns0:hyperlink ns2:id="rId3">
        <ns0:r>
          <ns0:rPr>
            <ns0:rStyle ns0:val="Hyperlink"/>
          </ns0:rPr>
          <ns0:t>https://www.un.org/global-digital-compact/en/ai</ns0:t>
        </ns0:r>
      </ns0:hyperlink>
    </ns0:p>
    <ns0:p>
      <ns0:pPr>
        <ns0:pStyle ns0:val="referenceitem"/>
        <ns0:numPr>
          <ns0:ilvl ns0:val="0"/>
          <ns0:numId ns0:val="6"/>
        </ns0:numPr>
        <ns0:rPr/>
      </ns0:pPr>
      <ns0:r>
        <ns0:rPr>
          <ns0:rStyle ns0:val="Hyperlink"/>
        </ns0:rPr>
        <ns0:t>Broomhead, D.S., Lowe, D.: Multivariable functional interpolation and adaptive networks. Complex Systems 2(3), 321-355 (1988)</ns0:t>
      </ns0:r>
    </ns0:p>
    <ns0:p>
      <ns0:pPr>
        <ns0:pStyle ns0:val="referenceitem"/>
        <ns0:numPr>
          <ns0:ilvl ns0:val="0"/>
          <ns0:numId ns0:val="0"/>
        </ns0:numPr>
        <ns0:ind ns0:firstLine="227" ns0:left="0"/>
        <ns0:rPr/>
      </ns0:pPr>
      <ns0:r>
        <ns0:rPr/>
      </ns0:r>
    </ns0:p>
    <ns0:p>
      <ns0:pPr>
        <ns0:pStyle ns0:val="referenceitem"/>
        <ns0:numPr>
          <ns0:ilvl ns0:val="0"/>
          <ns0:numId ns0:val="0"/>
        </ns0:numPr>
        <ns0:ind ns0:firstLine="227" ns0:left="0"/>
        <ns0:rPr/>
      </ns0:pPr>
      <ns0:r>
        <ns0:rPr/>
      </ns0:r>
    </ns0:p>
    <ns0:p>
      <ns0:pPr>
        <ns0:pStyle ns0:val="referenceitem"/>
        <ns0:numPr>
          <ns0:ilvl ns0:val="0"/>
          <ns0:numId ns0:val="0"/>
        </ns0:numPr>
        <ns0:ind ns0:firstLine="227" ns0:left="0"/>
        <ns0:rPr/>
      </ns0:pPr>
      <ns0:r>
        <ns0:rPr/>
      </ns0:r>
    </ns0:p>
    <ns0:p>
      <ns0:pPr>
        <ns0:pStyle ns0:val="heading11"/>
        <ns0:numPr>
          <ns0:ilvl ns0:val="0"/>
          <ns0:numId ns0:val="0"/>
        </ns0:numPr>
        <ns0:ind ns0:hanging="0" ns0:left="567"/>
        <ns0:rPr/>
      </ns0:pPr>
      <ns0:r>
        <ns0:rPr/>
        <ns0:t>Appendix A Semi-automated coding protocol</ns0:t>
      </ns0:r>
    </ns0:p>
    <ns0:p>
      <ns0:pPr>
        <ns0:pStyle ns0:val="p1a"/>
        <ns0:rPr/>
      </ns0:pPr>
      <ns0:r>
        <ns0:rPr/>
        <ns0:t>To increase procedural transparency, we implemented an exploratory semi-automated coder aligned with the four dimensions described in Sect. 3.2. A fully trained RBF network would not be methodologically credible for a corpus of only six governance models. We therefore used a lighter RBF-prototype procedure inspired by radial basis function scoring [11]: each document is segmented into paragraphs or sentences, represented with TF-IDF features, and compared with a small set of hand-written dimension prototypes for decisional plurality, citizen contestability, runtime oversight, and public participation.</ns0:t>
      </ns0:r>
    </ns0:p>
    <ns0:p>
      <ns0:pPr>
        <ns0:pStyle ns0:val="Normal"/>
        <ns0:rPr/>
      </ns0:pPr>
      <ns0:r>
        <ns0:rPr/>
        <ns0:t>For each segment x and each dimension prototype p, the script computes s(x,p)=exp(-gamma||x-p||^2). The automated coder then aggregates the maximum similarity score, the number of segments above a moderate similarity threshold, and a set of dimension-specific actor/action cues. These quantities are mapped onto the same 0-1-2 scale used in Sect. 3.2: 0 when evidence is absent or merely rhetorical, 1 when the dimension is partially specified, and 2 when the text contains explicit and actionable institutional design. The automated output is used as a first-pass consistency check and not as a replacement for human adjudication.</ns0:t>
      </ns0:r>
    </ns0:p>
    <ns0:p>
      <ns0:pPr>
        <ns0:pStyle ns0:val="Normal"/>
        <ns0:numPr>
          <ns0:ilvl ns0:val="0"/>
          <ns0:numId ns0:val="0"/>
        </ns0:numPr>
        <ns0:ind ns0:firstLine="227" ns0:left="0"/>
        <ns0:rPr/>
      </ns0:pPr>
      <ns0:r>
        <ns0:rPr/>
        <ns0:t>This automation should therefore be interpreted as a reproducibility aid rather than as a claim of machine-learned validity. Its main value is practical, in other words, it makes the coding rules inspectable, highlights the text passages that triggered each score, and helps detect when two similar documents were treated inconsistently during manual review.</ns0:t>
      </ns0:r>
    </ns0:p>
    <ns0:p>
      <ns0:pPr>
        <ns0:pStyle ns0:val="referenceitem"/>
        <ns0:numPr>
          <ns0:ilvl ns0:val="0"/>
          <ns0:numId ns0:val="0"/>
        </ns0:numPr>
        <ns0:ind ns0:firstLine="227" ns0:left="0"/>
        <ns0:rPr/>
      </ns0:pPr>
      <ns0:r>
        <ns0:rPr/>
      </ns0:r>
    </ns0:p>
    <ns0:sectPr>
      <ns0:headerReference ns0:type="even" ns2:id="rId4"/>
      <ns0:headerReference ns0:type="default" ns2:id="rId5"/>
      <ns0:headerReference ns0:type="first" ns2:id="rId6"/>
      <ns0:footerReference ns0:type="even" ns2:id="rId7"/>
      <ns0:footerReference ns0:type="default" ns2:id="rId8"/>
      <ns0:footerReference ns0:type="first" ns2:id="rId9"/>
      <ns0:type ns0:val="nextPage"/>
      <ns0:pgSz ns0:w="11906" ns0:h="16838"/>
      <ns0:pgMar ns0:left="2494" ns0:right="2494" ns0:gutter="0" ns0:header="2381" ns0:top="2948" ns0:footer="2324" ns0:bottom="2948"/>
      <ns0:pgNumType ns0:fmt="decimal"/>
      <ns0:formProt ns0:val="false"/>
      <ns0:titlePg/>
      <ns0:textDirection ns0:val="lrTb"/>
      <ns0:docGrid ns0:type="default" ns0:linePitch="240" ns0:charSpace="0"/>
    </ns0:sectPr>
  </ns0:body>
</ns0: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default"/>
  </w:font>
  <w:font w:name="Courier New">
    <w:charset w:val="01"/>
    <w:family w:val="auto"/>
    <w:pitch w:val="default"/>
  </w:font>
  <w:font w:name="Courier">
    <w:altName w:val="Courier New"/>
    <w:charset w:val="01"/>
    <w:family w:val="auto"/>
    <w:pitch w:val="default"/>
  </w:font>
  <w:font w:name="Liberation Sans">
    <w:altName w:val="Arial"/>
    <w:charset w:val="01"/>
    <w:family w:val="swiss"/>
    <w:pitch w:val="default"/>
  </w:font>
  <w:font w:name="Calibri">
    <w:charset w:val="01"/>
    <w:family w:val="swiss"/>
    <w:pitch w:val="default"/>
  </w:font>
  <w:font w:name="Symbol">
    <w:charset w:val="01"/>
    <w:family w:val="auto"/>
    <w:pitch w:val="variable"/>
  </w:font>
  <w:font w:name="Times New Roman">
    <w:charset w:val="01"/>
    <w:family w:val="roman"/>
    <w:pitch w:val="variable"/>
  </w:font>
  <w:font w:name="Courier New">
    <w:charset w:val="01"/>
    <w:family w:val="modern"/>
    <w:pitch w:val="fixed"/>
  </w:font>
  <w:font w:name="Wingdings">
    <w:charset w:val="01"/>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Normal"/>
      <w:rPr/>
    </w:pPr>
    <w:r>
      <w:rPr/>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Normal"/>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Normal"/>
      <w:rPr/>
    </w:pPr>
    <w:r>
      <w:rPr/>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runningheadleft"/>
      <w:rPr/>
    </w:pPr>
    <w:r>
      <w:rPr/>
      <w:fldChar w:fldCharType="begin"/>
    </w:r>
    <w:r>
      <w:rPr/>
      <w:instrText xml:space="preserve"> PAGE </w:instrText>
    </w:r>
    <w:r>
      <w:rPr/>
      <w:fldChar w:fldCharType="separate"/>
    </w:r>
    <w:r>
      <w:rPr/>
      <w:t>6</w:t>
    </w:r>
    <w:r>
      <w:rPr/>
      <w:fldChar w:fldCharType="end"/>
    </w:r>
    <w:r>
      <w:rPr/>
      <w:t xml:space="preserve"> </w:t>
    </w:r>
    <w:r>
      <w:rPr/>
      <w:tab/>
      <w:t>A.M. Astobiza, C. Astier and T. Ausín</w:t>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runningheadright"/>
      <w:rPr/>
    </w:pPr>
    <w:r>
      <w:rPr/>
      <w:tab/>
      <w:t>Polycentric control beyond compliance</w:t>
      <w:tab/>
    </w:r>
    <w:r>
      <w:rPr/>
      <w:fldChar w:fldCharType="begin"/>
    </w:r>
    <w:r>
      <w:rPr/>
      <w:instrText xml:space="preserve"> PAGE </w:instrText>
    </w:r>
    <w:r>
      <w:rPr/>
      <w:fldChar w:fldCharType="separate"/>
    </w:r>
    <w:r>
      <w:rPr/>
      <w:t>5</w:t>
    </w:r>
    <w:r>
      <w:rPr/>
      <w:fldChar w:fldCharType="end"/>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rPr/>
    </w:pPr>
    <w:r>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27"/>
        </w:tabs>
        <w:ind w:left="227" w:hanging="227"/>
      </w:pPr>
      <w:rPr>
        <w:rFonts w:ascii="Symbol" w:hAnsi="Symbol" w:cs="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cs="Courier New" w:hint="default"/>
      </w:rPr>
    </w:lvl>
    <w:lvl w:ilvl="3">
      <w:start w:val="1"/>
      <w:numFmt w:val="bullet"/>
      <w:lvlText w:val=""/>
      <w:lvlJc w:val="left"/>
      <w:pPr>
        <w:tabs>
          <w:tab w:val="num" w:pos="907"/>
        </w:tabs>
        <w:ind w:left="907" w:hanging="227"/>
      </w:pPr>
      <w:rPr>
        <w:rFonts w:ascii="Wingdings" w:hAnsi="Wingdings" w:cs="Wingdings" w:hint="default"/>
      </w:rPr>
    </w:lvl>
    <w:lvl w:ilvl="4">
      <w:start w:val="1"/>
      <w:numFmt w:val="bullet"/>
      <w:lvlText w:val="o"/>
      <w:lvlJc w:val="left"/>
      <w:pPr>
        <w:tabs>
          <w:tab w:val="num" w:pos="1134"/>
        </w:tabs>
        <w:ind w:left="1134" w:hanging="227"/>
      </w:pPr>
      <w:rPr>
        <w:rFonts w:ascii="Courier New" w:hAnsi="Courier New" w:cs="Courier New" w:hint="default"/>
      </w:rPr>
    </w:lvl>
    <w:lvl w:ilvl="5">
      <w:start w:val="1"/>
      <w:numFmt w:val="bullet"/>
      <w:lvlText w:val=""/>
      <w:lvlJc w:val="left"/>
      <w:pPr>
        <w:tabs>
          <w:tab w:val="num" w:pos="1361"/>
        </w:tabs>
        <w:ind w:left="1361" w:hanging="227"/>
      </w:pPr>
      <w:rPr>
        <w:rFonts w:ascii="Wingdings" w:hAnsi="Wingdings" w:cs="Wingdings"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o"/>
      <w:lvlJc w:val="left"/>
      <w:pPr>
        <w:tabs>
          <w:tab w:val="num" w:pos="1814"/>
        </w:tabs>
        <w:ind w:left="1814" w:hanging="226"/>
      </w:pPr>
      <w:rPr>
        <w:rFonts w:ascii="Courier New" w:hAnsi="Courier New" w:cs="Courier New" w:hint="default"/>
      </w:rPr>
    </w:lvl>
    <w:lvl w:ilvl="8">
      <w:start w:val="1"/>
      <w:numFmt w:val="bullet"/>
      <w:lvlText w:val=""/>
      <w:lvlJc w:val="left"/>
      <w:pPr>
        <w:tabs>
          <w:tab w:val="num" w:pos="2041"/>
        </w:tabs>
        <w:ind w:left="2041" w:hanging="227"/>
      </w:pPr>
      <w:rPr>
        <w:rFonts w:ascii="Wingdings" w:hAnsi="Wingdings" w:cs="Wingdings" w:hint="default"/>
      </w:rPr>
    </w:lvl>
  </w:abstractNum>
  <w:abstractNum w:abstractNumId="2">
    <w:lvl w:ilvl="0">
      <w:start w:val="1"/>
      <w:numFmt w:val="bullet"/>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cs="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lvl w:ilvl="0">
      <w:start w:val="1"/>
      <w:numFmt w:val="decimal"/>
      <w:lvlText w:val="%1."/>
      <w:lvlJc w:val="right"/>
      <w:pPr>
        <w:tabs>
          <w:tab w:val="num" w:pos="0"/>
        </w:tabs>
        <w:ind w:left="227" w:hanging="57"/>
      </w:pPr>
      <w:rPr/>
    </w:lvl>
    <w:lvl w:ilvl="1">
      <w:start w:val="1"/>
      <w:numFmt w:val="lowerLetter"/>
      <w:lvlText w:val="%2."/>
      <w:lvlJc w:val="left"/>
      <w:pPr>
        <w:tabs>
          <w:tab w:val="num" w:pos="227"/>
        </w:tabs>
        <w:ind w:left="454" w:hanging="227"/>
      </w:pPr>
      <w:rPr/>
    </w:lvl>
    <w:lvl w:ilvl="2">
      <w:start w:val="1"/>
      <w:numFmt w:val="decimal"/>
      <w:lvlText w:val="(%3)"/>
      <w:lvlJc w:val="left"/>
      <w:pPr>
        <w:tabs>
          <w:tab w:val="num" w:pos="454"/>
        </w:tabs>
        <w:ind w:left="794" w:hanging="340"/>
      </w:pPr>
      <w:rPr/>
    </w:lvl>
    <w:lvl w:ilvl="3">
      <w:start w:val="1"/>
      <w:numFmt w:val="lowerRoman"/>
      <w:lvlText w:val="%4."/>
      <w:lvlJc w:val="left"/>
      <w:pPr>
        <w:tabs>
          <w:tab w:val="num" w:pos="794"/>
        </w:tabs>
        <w:ind w:left="1077" w:hanging="283"/>
      </w:pPr>
      <w:rPr/>
    </w:lvl>
    <w:lvl w:ilvl="4">
      <w:start w:val="1"/>
      <w:numFmt w:val="lowerLetter"/>
      <w:lvlText w:val="(%5)"/>
      <w:lvlJc w:val="left"/>
      <w:pPr>
        <w:tabs>
          <w:tab w:val="num" w:pos="1077"/>
        </w:tabs>
        <w:ind w:left="1360" w:hanging="283"/>
      </w:pPr>
      <w:rPr/>
    </w:lvl>
    <w:lvl w:ilvl="5">
      <w:start w:val="1"/>
      <w:numFmt w:val="upperLetter"/>
      <w:lvlText w:val="%6."/>
      <w:lvlJc w:val="left"/>
      <w:pPr>
        <w:tabs>
          <w:tab w:val="num" w:pos="1360"/>
        </w:tabs>
        <w:ind w:left="1700" w:hanging="340"/>
      </w:pPr>
      <w:rPr/>
    </w:lvl>
    <w:lvl w:ilvl="6">
      <w:start w:val="0"/>
      <w:numFmt w:val="decimal"/>
      <w:lvlText w:val=""/>
      <w:lvlJc w:val="left"/>
      <w:pPr>
        <w:tabs>
          <w:tab w:val="num" w:pos="0"/>
        </w:tabs>
        <w:ind w:left="0" w:hanging="0"/>
      </w:pPr>
      <w:rPr/>
    </w:lvl>
    <w:lvl w:ilvl="7">
      <w:start w:val="0"/>
      <w:numFmt w:val="decimal"/>
      <w:lvlText w:val=""/>
      <w:lvlJc w:val="left"/>
      <w:pPr>
        <w:tabs>
          <w:tab w:val="num" w:pos="0"/>
        </w:tabs>
        <w:ind w:left="0" w:hanging="0"/>
      </w:pPr>
      <w:rPr/>
    </w:lvl>
    <w:lvl w:ilvl="8">
      <w:start w:val="0"/>
      <w:numFmt w:val="decimal"/>
      <w:lvlText w:val=""/>
      <w:lvlJc w:val="left"/>
      <w:pPr>
        <w:tabs>
          <w:tab w:val="num" w:pos="0"/>
        </w:tabs>
        <w:ind w:left="0" w:hanging="0"/>
      </w:pPr>
      <w:rPr/>
    </w:lvl>
  </w:abstractNum>
  <w:abstractNum w:abstractNumId="4">
    <w:lvl w:ilvl="0">
      <w:start w:val="1"/>
      <w:numFmt w:val="decimal"/>
      <w:lvlText w:val="%1"/>
      <w:lvlJc w:val="left"/>
      <w:pPr>
        <w:tabs>
          <w:tab w:val="num" w:pos="567"/>
        </w:tabs>
        <w:ind w:left="567" w:hanging="567"/>
      </w:pPr>
      <w:rPr/>
    </w:lvl>
    <w:lvl w:ilvl="1">
      <w:start w:val="1"/>
      <w:numFmt w:val="decimal"/>
      <w:lvlText w:val="%1.%2"/>
      <w:lvlJc w:val="left"/>
      <w:pPr>
        <w:tabs>
          <w:tab w:val="num" w:pos="567"/>
        </w:tabs>
        <w:ind w:left="567" w:hanging="567"/>
      </w:pPr>
      <w:rPr/>
    </w:lvl>
    <w:lvl w:ilvl="2">
      <w:start w:val="1"/>
      <w:numFmt w:val="decimal"/>
      <w:lvlText w:val="%1.%2.%3"/>
      <w:lvlJc w:val="left"/>
      <w:pPr>
        <w:tabs>
          <w:tab w:val="num" w:pos="851"/>
        </w:tabs>
        <w:ind w:left="851" w:hanging="851"/>
      </w:pPr>
      <w:rPr/>
    </w:lvl>
    <w:lvl w:ilvl="3">
      <w:start w:val="1"/>
      <w:numFmt w:val="decimal"/>
      <w:lvlText w:val="%1.%2.%3.%4"/>
      <w:lvlJc w:val="left"/>
      <w:pPr>
        <w:tabs>
          <w:tab w:val="num" w:pos="851"/>
        </w:tabs>
        <w:ind w:left="851" w:hanging="851"/>
      </w:pPr>
      <w:rPr/>
    </w:lvl>
    <w:lvl w:ilvl="4">
      <w:start w:val="1"/>
      <w:numFmt w:val="decimal"/>
      <w:lvlText w:val="%1.%2.%3.%4.%5"/>
      <w:lvlJc w:val="left"/>
      <w:pPr>
        <w:tabs>
          <w:tab w:val="num" w:pos="964"/>
        </w:tabs>
        <w:ind w:left="964" w:hanging="964"/>
      </w:pPr>
      <w:rPr>
        <w:sz w:val="20"/>
        <w:i/>
        <w:b w:val="false"/>
        <w:rFonts w:ascii="Times New Roman" w:hAnsi="Times New Roman"/>
      </w:rPr>
    </w:lvl>
    <w:lvl w:ilvl="5">
      <w:start w:val="1"/>
      <w:numFmt w:val="decimal"/>
      <w:lvlText w:val="%1.%2.%3.%4.%5.%6"/>
      <w:lvlJc w:val="left"/>
      <w:pPr>
        <w:tabs>
          <w:tab w:val="num" w:pos="1152"/>
        </w:tabs>
        <w:ind w:left="1152" w:hanging="1152"/>
      </w:pPr>
      <w:rPr/>
    </w:lvl>
    <w:lvl w:ilvl="6">
      <w:start w:val="1"/>
      <w:numFmt w:val="decimal"/>
      <w:lvlText w:val="%1.%2.%3.%4.%5.%6.%7"/>
      <w:lvlJc w:val="left"/>
      <w:pPr>
        <w:tabs>
          <w:tab w:val="num" w:pos="1296"/>
        </w:tabs>
        <w:ind w:left="1296" w:hanging="1296"/>
      </w:pPr>
      <w:rPr/>
    </w:lvl>
    <w:lvl w:ilvl="7">
      <w:start w:val="1"/>
      <w:numFmt w:val="decimal"/>
      <w:lvlText w:val="%1.%2.%3.%4.%5.%6.%7.%8"/>
      <w:lvlJc w:val="left"/>
      <w:pPr>
        <w:tabs>
          <w:tab w:val="num" w:pos="1440"/>
        </w:tabs>
        <w:ind w:left="1440" w:hanging="1440"/>
      </w:pPr>
      <w:rPr/>
    </w:lvl>
    <w:lvl w:ilvl="8">
      <w:start w:val="1"/>
      <w:numFmt w:val="decimal"/>
      <w:lvlText w:val="%1.%2.%3.%4.%5.%6.%7.%8.%9"/>
      <w:lvlJc w:val="left"/>
      <w:pPr>
        <w:tabs>
          <w:tab w:val="num" w:pos="1584"/>
        </w:tabs>
        <w:ind w:left="1584" w:hanging="1584"/>
      </w:pPr>
      <w:rPr/>
    </w:lvl>
  </w:abstractNum>
  <w:abstractNum w:abstractNumId="5">
    <w:lvl w:ilvl="0">
      <w:start w:val="1"/>
      <w:numFmt w:val="decimal"/>
      <w:lvlText w:val="%1."/>
      <w:lvlJc w:val="right"/>
      <w:pPr>
        <w:tabs>
          <w:tab w:val="num" w:pos="341"/>
        </w:tabs>
        <w:ind w:left="341" w:hanging="114"/>
      </w:pPr>
      <w:rPr/>
    </w:lvl>
    <w:lvl w:ilvl="1">
      <w:start w:val="1"/>
      <w:numFmt w:val="lowerLetter"/>
      <w:lvlText w:val="%2."/>
      <w:lvlJc w:val="left"/>
      <w:pPr>
        <w:tabs>
          <w:tab w:val="num" w:pos="1896"/>
        </w:tabs>
        <w:ind w:left="1896" w:hanging="360"/>
      </w:pPr>
      <w:rPr/>
    </w:lvl>
    <w:lvl w:ilvl="2">
      <w:start w:val="1"/>
      <w:numFmt w:val="lowerRoman"/>
      <w:lvlText w:val="%3."/>
      <w:lvlJc w:val="right"/>
      <w:pPr>
        <w:tabs>
          <w:tab w:val="num" w:pos="2616"/>
        </w:tabs>
        <w:ind w:left="2616" w:hanging="180"/>
      </w:pPr>
      <w:rPr/>
    </w:lvl>
    <w:lvl w:ilvl="3">
      <w:start w:val="1"/>
      <w:numFmt w:val="decimal"/>
      <w:lvlText w:val="%4."/>
      <w:lvlJc w:val="left"/>
      <w:pPr>
        <w:tabs>
          <w:tab w:val="num" w:pos="3336"/>
        </w:tabs>
        <w:ind w:left="3336" w:hanging="360"/>
      </w:pPr>
      <w:rPr/>
    </w:lvl>
    <w:lvl w:ilvl="4">
      <w:start w:val="1"/>
      <w:numFmt w:val="lowerLetter"/>
      <w:lvlText w:val="%5."/>
      <w:lvlJc w:val="left"/>
      <w:pPr>
        <w:tabs>
          <w:tab w:val="num" w:pos="4056"/>
        </w:tabs>
        <w:ind w:left="4056" w:hanging="360"/>
      </w:pPr>
      <w:rPr/>
    </w:lvl>
    <w:lvl w:ilvl="5">
      <w:start w:val="1"/>
      <w:numFmt w:val="lowerRoman"/>
      <w:lvlText w:val="%6."/>
      <w:lvlJc w:val="right"/>
      <w:pPr>
        <w:tabs>
          <w:tab w:val="num" w:pos="4776"/>
        </w:tabs>
        <w:ind w:left="4776" w:hanging="180"/>
      </w:pPr>
      <w:rPr/>
    </w:lvl>
    <w:lvl w:ilvl="6">
      <w:start w:val="1"/>
      <w:numFmt w:val="decimal"/>
      <w:lvlText w:val="%7."/>
      <w:lvlJc w:val="left"/>
      <w:pPr>
        <w:tabs>
          <w:tab w:val="num" w:pos="5496"/>
        </w:tabs>
        <w:ind w:left="5496" w:hanging="360"/>
      </w:pPr>
      <w:rPr/>
    </w:lvl>
    <w:lvl w:ilvl="7">
      <w:start w:val="1"/>
      <w:numFmt w:val="lowerLetter"/>
      <w:lvlText w:val="%8."/>
      <w:lvlJc w:val="left"/>
      <w:pPr>
        <w:tabs>
          <w:tab w:val="num" w:pos="6216"/>
        </w:tabs>
        <w:ind w:left="6216" w:hanging="360"/>
      </w:pPr>
      <w:rPr/>
    </w:lvl>
    <w:lvl w:ilvl="8">
      <w:start w:val="1"/>
      <w:numFmt w:val="lowerRoman"/>
      <w:lvlText w:val="%9."/>
      <w:lvlJc w:val="right"/>
      <w:pPr>
        <w:tabs>
          <w:tab w:val="num" w:pos="6936"/>
        </w:tabs>
        <w:ind w:left="6936" w:hanging="180"/>
      </w:pPr>
      <w:rPr/>
    </w:lvl>
  </w:abstractNum>
  <w:abstractNum w:abstractNumId="6">
    <w:lvl w:ilvl="0">
      <w:start w:val="1"/>
      <w:numFmt w:val="decimal"/>
      <w:lvlText w:val="%1."/>
      <w:lvlJc w:val="right"/>
      <w:pPr>
        <w:tabs>
          <w:tab w:val="num" w:pos="341"/>
        </w:tabs>
        <w:ind w:left="341" w:hanging="114"/>
      </w:pPr>
      <w:rPr/>
    </w:lvl>
    <w:lvl w:ilvl="1">
      <w:start w:val="1"/>
      <w:numFmt w:val="lowerLetter"/>
      <w:lvlText w:val="%2."/>
      <w:lvlJc w:val="left"/>
      <w:pPr>
        <w:tabs>
          <w:tab w:val="num" w:pos="1896"/>
        </w:tabs>
        <w:ind w:left="1896" w:hanging="360"/>
      </w:pPr>
      <w:rPr/>
    </w:lvl>
    <w:lvl w:ilvl="2">
      <w:start w:val="1"/>
      <w:numFmt w:val="lowerRoman"/>
      <w:lvlText w:val="%3."/>
      <w:lvlJc w:val="right"/>
      <w:pPr>
        <w:tabs>
          <w:tab w:val="num" w:pos="2616"/>
        </w:tabs>
        <w:ind w:left="2616" w:hanging="180"/>
      </w:pPr>
      <w:rPr/>
    </w:lvl>
    <w:lvl w:ilvl="3">
      <w:start w:val="1"/>
      <w:numFmt w:val="decimal"/>
      <w:lvlText w:val="%4."/>
      <w:lvlJc w:val="left"/>
      <w:pPr>
        <w:tabs>
          <w:tab w:val="num" w:pos="3336"/>
        </w:tabs>
        <w:ind w:left="3336" w:hanging="360"/>
      </w:pPr>
      <w:rPr/>
    </w:lvl>
    <w:lvl w:ilvl="4">
      <w:start w:val="1"/>
      <w:numFmt w:val="lowerLetter"/>
      <w:lvlText w:val="%5."/>
      <w:lvlJc w:val="left"/>
      <w:pPr>
        <w:tabs>
          <w:tab w:val="num" w:pos="4056"/>
        </w:tabs>
        <w:ind w:left="4056" w:hanging="360"/>
      </w:pPr>
      <w:rPr/>
    </w:lvl>
    <w:lvl w:ilvl="5">
      <w:start w:val="1"/>
      <w:numFmt w:val="lowerRoman"/>
      <w:lvlText w:val="%6."/>
      <w:lvlJc w:val="right"/>
      <w:pPr>
        <w:tabs>
          <w:tab w:val="num" w:pos="4776"/>
        </w:tabs>
        <w:ind w:left="4776" w:hanging="180"/>
      </w:pPr>
      <w:rPr/>
    </w:lvl>
    <w:lvl w:ilvl="6">
      <w:start w:val="1"/>
      <w:numFmt w:val="decimal"/>
      <w:lvlText w:val="%7."/>
      <w:lvlJc w:val="left"/>
      <w:pPr>
        <w:tabs>
          <w:tab w:val="num" w:pos="5496"/>
        </w:tabs>
        <w:ind w:left="5496" w:hanging="360"/>
      </w:pPr>
      <w:rPr/>
    </w:lvl>
    <w:lvl w:ilvl="7">
      <w:start w:val="1"/>
      <w:numFmt w:val="lowerLetter"/>
      <w:lvlText w:val="%8."/>
      <w:lvlJc w:val="left"/>
      <w:pPr>
        <w:tabs>
          <w:tab w:val="num" w:pos="6216"/>
        </w:tabs>
        <w:ind w:left="6216" w:hanging="360"/>
      </w:pPr>
      <w:rPr/>
    </w:lvl>
    <w:lvl w:ilvl="8">
      <w:start w:val="1"/>
      <w:numFmt w:val="lowerRoman"/>
      <w:lvlText w:val="%9."/>
      <w:lvlJc w:val="right"/>
      <w:pPr>
        <w:tabs>
          <w:tab w:val="num" w:pos="6936"/>
        </w:tabs>
        <w:ind w:left="6936" w:hanging="180"/>
      </w:pPr>
      <w:rPr/>
    </w:lvl>
  </w:abstractNum>
  <w:abstractNum w:abstractNumId="7">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bering>
</file>

<file path=word/settings.xml><?xml version="1.0" encoding="utf-8"?>
<w:settings xmlns:w="http://schemas.openxmlformats.org/wordprocessingml/2006/main">
  <w:zoom w:percent="100"/>
  <w:defaultTabStop w:val="720"/>
  <w:autoHyphenation w:val="true"/>
  <w:doNotHyphenateCaps/>
  <w:hyphenationZone w:val="400"/>
  <w:evenAndOddHeaders/>
  <w:compat>
    <w:compatSetting w:name="compatibilityMode" w:uri="http://schemas.microsoft.com/office/word" w:val="12"/>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n-U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Songti SC" w:cs="Times New Roman"/>
        <w:lang w:val="en-US" w:eastAsia="en-US" w:bidi="ar-SA"/>
      </w:rPr>
    </w:rPrDefault>
    <w:pPrDefault>
      <w:pPr>
        <w:suppressAutoHyphens w:val="true"/>
      </w:pPr>
    </w:pPrDefault>
  </w:docDefaults>
  <w:latentStyles w:defLockedState="0" w:defUIPriority="0" w:defSemiHidden="1" w:defUnhideWhenUsed="0" w:defQFormat="0" w:count="267">
    <w:lsdException w:name="Normal" w:semiHidden="0" w:qFormat="1"/>
  </w:latentStyles>
  <w:style w:type="paragraph" w:styleId="Normal" w:default="1">
    <w:name w:val="Normal"/>
    <w:qFormat/>
    <w:rsid w:val="00ce7667"/>
    <w:pPr>
      <w:widowControl/>
      <w:suppressAutoHyphens w:val="false"/>
      <w:overflowPunct w:val="true"/>
      <w:bidi w:val="0"/>
      <w:spacing w:lineRule="atLeast" w:line="240" w:before="0" w:after="0"/>
      <w:ind w:firstLine="227"/>
      <w:jc w:val="both"/>
      <w:textAlignment w:val="baseline"/>
    </w:pPr>
    <w:rPr>
      <w:rFonts w:ascii="Times New Roman" w:hAnsi="Times New Roman" w:eastAsia="Times New Roman" w:cs="Times New Roman"/>
      <w:color w:val="auto"/>
      <w:kern w:val="0"/>
      <w:sz w:val="20"/>
      <w:szCs w:val="20"/>
      <w:lang w:val="en-US" w:eastAsia="en-US" w:bidi="ar-SA"/>
    </w:rPr>
  </w:style>
  <w:style w:type="paragraph" w:styleId="Heading1">
    <w:name w:val="heading 1"/>
    <w:basedOn w:val="Normal"/>
    <w:next w:val="p1a"/>
    <w:semiHidden/>
    <w:unhideWhenUsed/>
    <w:qFormat/>
    <w:pPr>
      <w:keepNext w:val="true"/>
      <w:keepLines/>
      <w:suppressAutoHyphens w:val="true"/>
      <w:spacing w:lineRule="atLeast" w:line="300" w:before="360" w:after="240"/>
      <w:ind w:hanging="567" w:left="567"/>
      <w:jc w:val="left"/>
      <w:outlineLvl w:val="0"/>
    </w:pPr>
    <w:rPr>
      <w:b/>
      <w:sz w:val="24"/>
    </w:rPr>
  </w:style>
  <w:style w:type="paragraph" w:styleId="Heading2">
    <w:name w:val="heading 2"/>
    <w:basedOn w:val="Normal"/>
    <w:next w:val="p1a"/>
    <w:semiHidden/>
    <w:unhideWhenUsed/>
    <w:qFormat/>
    <w:pPr>
      <w:keepNext w:val="true"/>
      <w:keepLines/>
      <w:suppressAutoHyphens w:val="true"/>
      <w:spacing w:before="360" w:after="160"/>
      <w:ind w:hanging="567" w:left="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semiHidden/>
    <w:unhideWhenUsed/>
    <w:qFormat/>
    <w:rPr/>
  </w:style>
  <w:style w:type="character" w:styleId="e-mail" w:customStyle="1">
    <w:name w:val="e-mail"/>
    <w:basedOn w:val="DefaultParagraphFont"/>
    <w:qFormat/>
    <w:rPr>
      <w:rFonts w:ascii="Courier New" w:hAnsi="Courier New"/>
    </w:rPr>
  </w:style>
  <w:style w:type="character" w:styleId="FootnoteCharacters">
    <w:name w:val="Footnote Characters"/>
    <w:semiHidden/>
    <w:unhideWhenUsed/>
    <w:qFormat/>
    <w:rPr>
      <w:vertAlign w:val="superscript"/>
    </w:rPr>
  </w:style>
  <w:style w:type="character" w:styleId="FootnoteCharactersuser">
    <w:name w:val="Footnote Characters (user)"/>
    <w:qFormat/>
    <w:rPr>
      <w:vertAlign w:val="superscript"/>
    </w:rPr>
  </w:style>
  <w:style w:type="character" w:styleId="FootnoteReference">
    <w:name w:val="footnote reference"/>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Hyperlink">
    <w:name w:val="Hyperlink"/>
    <w:basedOn w:val="DefaultParagraphFont"/>
    <w:semiHidden/>
    <w:unhideWhenUsed/>
    <w:rPr>
      <w:color w:val="auto"/>
      <w:u w:val="none"/>
    </w:rPr>
  </w:style>
  <w:style w:type="character" w:styleId="PageNumber">
    <w:name w:val="page number"/>
    <w:basedOn w:val="DefaultParagraphFont"/>
    <w:semiHidden/>
    <w:unhideWhenUsed/>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paragraph" w:styleId="Heading">
    <w:name w:val="Heading"/>
    <w:basedOn w:val="Normal"/>
    <w:next w:val="BodyText"/>
    <w:qFormat/>
    <w:pPr>
      <w:keepNext w:val="true"/>
      <w:spacing w:before="240" w:after="120"/>
    </w:pPr>
    <w:rPr>
      <w:rFonts w:ascii="Liberation Sans" w:hAnsi="Liberation Sans" w:eastAsia="Arial Unicode MS" w:cs="Arial Unicode M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ascii="Calibri" w:hAnsi="Calibri" w:cs="Arial Unicode MS"/>
    </w:rPr>
  </w:style>
  <w:style w:type="paragraph" w:styleId="Caption">
    <w:name w:val="caption"/>
    <w:basedOn w:val="Normal"/>
    <w:qFormat/>
    <w:pPr>
      <w:suppressLineNumbers/>
      <w:spacing w:before="120" w:after="120"/>
    </w:pPr>
    <w:rPr>
      <w:rFonts w:ascii="Calibri" w:hAnsi="Calibri" w:cs="Arial Unicode MS"/>
      <w:i/>
      <w:iCs/>
      <w:sz w:val="24"/>
      <w:szCs w:val="24"/>
    </w:rPr>
  </w:style>
  <w:style w:type="paragraph" w:styleId="Index">
    <w:name w:val="Index"/>
    <w:basedOn w:val="Normal"/>
    <w:qFormat/>
    <w:pPr>
      <w:suppressLineNumbers/>
    </w:pPr>
    <w:rPr>
      <w:rFonts w:ascii="Calibri" w:hAnsi="Calibri" w:cs="Arial Unicode MS"/>
    </w:rPr>
  </w:style>
  <w:style w:type="paragraph" w:styleId="abstract" w:customStyle="1">
    <w:name w:val="abstract"/>
    <w:basedOn w:val="Normal"/>
    <w:qFormat/>
    <w:pPr>
      <w:spacing w:lineRule="atLeast" w:line="220" w:before="600" w:after="360"/>
      <w:ind w:left="567" w:right="56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next w:val="address"/>
    <w:qFormat/>
    <w:pPr>
      <w:spacing w:lineRule="atLeast" w:line="220" w:before="0" w:after="200"/>
      <w:ind w:hanging="0"/>
      <w:jc w:val="center"/>
    </w:pPr>
    <w:rPr/>
  </w:style>
  <w:style w:type="paragraph" w:styleId="bulletitem" w:customStyle="1">
    <w:name w:val="bulletitem"/>
    <w:basedOn w:val="Normal"/>
    <w:qFormat/>
    <w:pPr>
      <w:numPr>
        <w:ilvl w:val="0"/>
        <w:numId w:val="1"/>
      </w:numPr>
      <w:spacing w:before="160" w:after="160"/>
      <w:contextualSpacing/>
    </w:pPr>
    <w:rPr/>
  </w:style>
  <w:style w:type="paragraph" w:styleId="dashitem" w:customStyle="1">
    <w:name w:val="dashitem"/>
    <w:basedOn w:val="Normal"/>
    <w:qFormat/>
    <w:pPr>
      <w:numPr>
        <w:ilvl w:val="0"/>
        <w:numId w:val="2"/>
      </w:numPr>
      <w:spacing w:before="160" w:after="160"/>
      <w:contextualSpacing/>
    </w:pPr>
    <w:rPr/>
  </w:style>
  <w:style w:type="paragraph" w:styleId="equation" w:customStyle="1">
    <w:name w:val="equation"/>
    <w:basedOn w:val="Normal"/>
    <w:next w:val="Normal"/>
    <w:qFormat/>
    <w:pPr>
      <w:tabs>
        <w:tab w:val="clear" w:pos="720"/>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HeaderandFooter">
    <w:name w:val="Header and Footer"/>
    <w:basedOn w:val="Normal"/>
    <w:qFormat/>
    <w:pPr/>
    <w:rPr/>
  </w:style>
  <w:style w:type="paragraph" w:styleId="Footer">
    <w:name w:val="footer"/>
    <w:basedOn w:val="Normal"/>
    <w:semiHidden/>
    <w:unhideWhenUsed/>
    <w:pPr/>
    <w:rPr>
      <w:rFonts w:ascii="Times New Roman" w:hAnsi="Times New Roman" w:eastAsia="Times New Roman"/>
      <w:sz w:val="20"/>
      <w:szCs w:val="20"/>
    </w:rPr>
  </w:style>
  <w:style w:type="paragraph" w:styleId="heading11" w:customStyle="1">
    <w:name w:val="heading1"/>
    <w:basedOn w:val="Normal"/>
    <w:next w:val="p1a"/>
    <w:qFormat/>
    <w:pPr>
      <w:keepNext w:val="true"/>
      <w:keepLines/>
      <w:numPr>
        <w:ilvl w:val="0"/>
        <w:numId w:val="4"/>
      </w:numPr>
      <w:suppressAutoHyphens w:val="true"/>
      <w:spacing w:lineRule="atLeast" w:line="300" w:before="360" w:after="240"/>
      <w:ind w:hanging="567" w:left="567"/>
      <w:jc w:val="left"/>
      <w:outlineLvl w:val="0"/>
    </w:pPr>
    <w:rPr>
      <w:b/>
      <w:sz w:val="24"/>
    </w:rPr>
  </w:style>
  <w:style w:type="paragraph" w:styleId="heading21" w:customStyle="1">
    <w:name w:val="heading2"/>
    <w:basedOn w:val="Normal"/>
    <w:next w:val="p1a"/>
    <w:qFormat/>
    <w:pPr>
      <w:keepNext w:val="true"/>
      <w:keepLines/>
      <w:numPr>
        <w:ilvl w:val="1"/>
        <w:numId w:val="4"/>
      </w:numPr>
      <w:suppressAutoHyphens w:val="true"/>
      <w:spacing w:before="360" w:after="160"/>
      <w:ind w:hanging="567" w:left="567"/>
      <w:jc w:val="left"/>
      <w:outlineLvl w:val="1"/>
    </w:pPr>
    <w:rPr>
      <w:b/>
    </w:rPr>
  </w:style>
  <w:style w:type="paragraph" w:styleId="acknowlegments">
    <w:name w:val="acknowlegments"/>
    <w:basedOn w:val="Normal"/>
    <w:qFormat/>
    <w:pPr>
      <w:spacing w:lineRule="atLeast" w:line="220" w:before="240" w:after="0"/>
      <w:ind w:hanging="0"/>
    </w:pPr>
    <w:rPr>
      <w:sz w:val="18"/>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next w:val="heading11"/>
    <w:qFormat/>
    <w:pPr>
      <w:spacing w:before="220" w:after="360"/>
      <w:ind w:hanging="0"/>
      <w:contextualSpacing w:val="false"/>
      <w:jc w:val="left"/>
    </w:pPr>
    <w:rPr/>
  </w:style>
  <w:style w:type="paragraph" w:styleId="Header">
    <w:name w:val="header"/>
    <w:basedOn w:val="Normal"/>
    <w:semiHidden/>
    <w:unhideWhenUsed/>
    <w:pPr>
      <w:tabs>
        <w:tab w:val="clear" w:pos="720"/>
        <w:tab w:val="center" w:pos="4536" w:leader="none"/>
        <w:tab w:val="right" w:pos="9072" w:leader="none"/>
      </w:tabs>
      <w:ind w:hanging="0"/>
    </w:pPr>
    <w:rPr>
      <w:sz w:val="18"/>
      <w:szCs w:val="18"/>
    </w:rPr>
  </w:style>
  <w:style w:type="paragraph" w:styleId="numitem" w:customStyle="1">
    <w:name w:val="numitem"/>
    <w:basedOn w:val="Normal"/>
    <w:qFormat/>
    <w:pPr>
      <w:numPr>
        <w:ilvl w:val="0"/>
        <w:numId w:val="3"/>
      </w:num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clear" w:pos="720"/>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pPr>
      <w:numPr>
        <w:ilvl w:val="0"/>
        <w:numId w:val="5"/>
      </w:numPr>
      <w:spacing w:lineRule="atLeast" w:line="220"/>
    </w:pPr>
    <w:rPr>
      <w:sz w:val="18"/>
    </w:rPr>
  </w:style>
  <w:style w:type="paragraph" w:styleId="runningheadleft" w:customStyle="1">
    <w:name w:val="runninghead left"/>
    <w:basedOn w:val="Normal"/>
    <w:qFormat/>
    <w:pPr>
      <w:tabs>
        <w:tab w:val="clear" w:pos="720"/>
        <w:tab w:val="left" w:pos="680" w:leader="none"/>
      </w:tabs>
      <w:ind w:hanging="0"/>
      <w:jc w:val="left"/>
    </w:pPr>
    <w:rPr>
      <w:sz w:val="18"/>
      <w:szCs w:val="18"/>
    </w:rPr>
  </w:style>
  <w:style w:type="paragraph" w:styleId="runningheadright" w:customStyle="1">
    <w:name w:val="runninghead right"/>
    <w:basedOn w:val="Normal"/>
    <w:qFormat/>
    <w:pPr>
      <w:tabs>
        <w:tab w:val="clear" w:pos="720"/>
        <w:tab w:val="right" w:pos="6237" w:leader="none"/>
        <w:tab w:val="right" w:pos="6917" w:leader="none"/>
      </w:tabs>
      <w:ind w:hanging="0"/>
      <w:jc w:val="left"/>
    </w:pPr>
    <w:rPr>
      <w:bCs/>
      <w:sz w:val="18"/>
      <w:szCs w:val="18"/>
    </w:rPr>
  </w:style>
  <w:style w:type="paragraph" w:styleId="papertitle" w:customStyle="1">
    <w:name w:val="papertitle"/>
    <w:basedOn w:val="Normal"/>
    <w:next w:val="author"/>
    <w:qFormat/>
    <w:pPr>
      <w:keepNext w:val="true"/>
      <w:keepLines/>
      <w:suppressAutoHyphens w:val="true"/>
      <w:spacing w:lineRule="atLeast" w:line="360" w:before="0" w:after="480"/>
      <w:ind w:hanging="0"/>
      <w:jc w:val="center"/>
    </w:pPr>
    <w:rPr>
      <w:b/>
      <w:sz w:val="28"/>
    </w:rPr>
  </w:style>
  <w:style w:type="paragraph" w:styleId="papersubtitle" w:customStyle="1">
    <w:name w:val="papersubtitle"/>
    <w:basedOn w:val="papertitle"/>
    <w:next w:val="author"/>
    <w:qFormat/>
    <w:pPr>
      <w:spacing w:lineRule="atLeast" w:line="280" w:before="120" w:after="480"/>
    </w:pPr>
    <w:rPr>
      <w:sz w:val="24"/>
    </w:rPr>
  </w:style>
  <w:style w:type="paragraph" w:styleId="tablecaption" w:customStyle="1">
    <w:name w:val="tablecaption"/>
    <w:basedOn w:val="Normal"/>
    <w:next w:val="Normal"/>
    <w:qFormat/>
    <w:pPr>
      <w:keepNext w:val="true"/>
      <w:keepLines/>
      <w:spacing w:lineRule="atLeast" w:line="220" w:before="240" w:after="120"/>
      <w:ind w:hanging="0"/>
      <w:jc w:val="center"/>
    </w:pPr>
    <w:rPr>
      <w:sz w:val="18"/>
    </w:rPr>
  </w:style>
  <w:style w:type="paragraph" w:styleId="FootnoteText">
    <w:name w:val="footnote text"/>
    <w:basedOn w:val="Normal"/>
    <w:semiHidden/>
    <w:pPr>
      <w:spacing w:lineRule="atLeast" w:line="220"/>
      <w:ind w:hanging="227" w:left="227"/>
    </w:pPr>
    <w:rPr>
      <w:sz w:val="18"/>
    </w:rPr>
  </w:style>
  <w:style w:type="paragraph" w:styleId="ReferenceLine" w:customStyle="1">
    <w:name w:val="ReferenceLine"/>
    <w:basedOn w:val="p1a"/>
    <w:semiHidden/>
    <w:unhideWhenUsed/>
    <w:qFormat/>
    <w:pPr>
      <w:spacing w:lineRule="exact" w:line="200"/>
    </w:pPr>
    <w:rPr>
      <w:sz w:val="16"/>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Normal Table">
    <w:name w:val="Normal Table"/>
    <w:uiPriority w:val="99"/>
    <w:semiHidden/>
    <w:unhideWhenUsed/>
    <w:tblPr>
      <w:tblCellMar>
        <w:top w:w="57" w:type="dxa"/>
        <w:left w:w="57" w:type="dxa"/>
        <w:bottom w:w="57" w:type="dxa"/>
        <w:right w:w="57" w:type="dxa"/>
      </w:tblCellMar>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CHECKENSURESTYLES" wne:name="Project.SpLNProcMacros.CheckEnsureStyles" wne:bEncrypt="00" wne:cmg="56"/>
    <wne:mcd wne:macroName="PROJECT.SPLNPROCMACROS.RESTOREPAGESETUP" wne:name="Project.SpLNProcMacros.RestorePageSetup"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doi.org/10.1007/s43681-024-00653-w" TargetMode="External"/><Relationship Id="rId3" Type="http://schemas.openxmlformats.org/officeDocument/2006/relationships/hyperlink" Target="https://www.un.org/global-digital-compact/en/ai" TargetMode="External"/><Relationship Id="rId4" Type="http://schemas.openxmlformats.org/officeDocument/2006/relationships/header" Target="header1.xml"/><Relationship Id="rId5" Type="http://schemas.openxmlformats.org/officeDocument/2006/relationships/header" Target="header2.xml"/><Relationship Id="rId6" Type="http://schemas.openxmlformats.org/officeDocument/2006/relationships/header" Target="header3.xml"/><Relationship Id="rId7" Type="http://schemas.openxmlformats.org/officeDocument/2006/relationships/footer" Target="footer1.xml"/><Relationship Id="rId8" Type="http://schemas.openxmlformats.org/officeDocument/2006/relationships/footer" Target="footer2.xml"/><Relationship Id="rId9" Type="http://schemas.openxmlformats.org/officeDocument/2006/relationships/footer" Target="footer3.xml"/><Relationship Id="rId10" Type="http://schemas.openxmlformats.org/officeDocument/2006/relationships/numbering" Target="numbering.xml"/><Relationship Id="rId11" Type="http://schemas.openxmlformats.org/officeDocument/2006/relationships/fontTable" Target="fontTable.xml"/><Relationship Id="rId12" Type="http://schemas.openxmlformats.org/officeDocument/2006/relationships/settings" Target="settings.xml"/><Relationship Id="rId13" Type="http://schemas.openxmlformats.org/officeDocument/2006/relationships/theme" Target="theme/theme1.xml"/><Relationship Id="rId14"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xmlns:r="http://schemas.openxmlformats.org/officeDocument/2006/relationships" name="Office Theme">
  <a:themeElements>
    <a:clrScheme name="Office">
      <a:dk1>
        <a:srgbClr val="000000"/>
      </a:dk1>
      <a:lt1>
        <a:srgbClr val="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pitchFamily="0" charset="1"/>
        <a:ea typeface=""/>
        <a:cs typeface=""/>
      </a:majorFont>
      <a:minorFont>
        <a:latin typeface="Calibri" panose="020F0502020204030204" pitchFamily="0" charset="1"/>
        <a:ea typeface=""/>
        <a:cs typeface=""/>
      </a:minorFont>
    </a:fontScheme>
    <a:fmtScheme>
      <a:fillStyleLst>
        <a:solidFill>
          <a:schemeClr val="phClr"/>
        </a:solidFill>
        <a:gradFill>
          <a:gsLst>
            <a:gs pos="0">
              <a:schemeClr val="phClr">
                <a:lumMod val="110000"/>
                <a:tint val="67000"/>
              </a:schemeClr>
            </a:gs>
            <a:gs pos="50000">
              <a:schemeClr val="phClr">
                <a:lumMod val="105000"/>
                <a:tint val="73000"/>
              </a:schemeClr>
            </a:gs>
            <a:gs pos="100000">
              <a:schemeClr val="phClr">
                <a:lumMod val="105000"/>
                <a:tint val="81000"/>
              </a:schemeClr>
            </a:gs>
          </a:gsLst>
          <a:lin ang="5400000" scaled="0"/>
          <a:tileRect l="0" t="0" r="0" b="0"/>
        </a:gradFill>
        <a:gradFill>
          <a:gsLst>
            <a:gs pos="0">
              <a:schemeClr val="phClr">
                <a:lumMod val="102000"/>
                <a:tint val="94000"/>
              </a:schemeClr>
            </a:gs>
            <a:gs pos="50000">
              <a:schemeClr val="phClr">
                <a:lumMod val="100000"/>
                <a:shade val="100000"/>
              </a:schemeClr>
            </a:gs>
            <a:gs pos="100000">
              <a:schemeClr val="phClr">
                <a:lumMod val="99000"/>
                <a:shade val="78000"/>
              </a:schemeClr>
            </a:gs>
          </a:gsLst>
          <a:lin ang="5400000" scaled="0"/>
          <a:tileRect l="0" t="0" r="0" b="0"/>
        </a:gradFill>
      </a:fillStyleLst>
      <a:lnStyleLst>
        <a:ln w="6350" cap="flat" cmpd="sng" algn="ctr">
          <a:prstDash val="solid"/>
          <a:miter lim="800000"/>
        </a:ln>
        <a:ln w="12700" cap="flat" cmpd="sng" algn="ctr">
          <a:prstDash val="solid"/>
          <a:miter lim="800000"/>
        </a:ln>
        <a:ln w="19050" cap="flat" cmpd="sng" algn="ctr">
          <a:prstDash val="solid"/>
          <a:miter lim="800000"/>
        </a:ln>
      </a:lnStyleLst>
      <a:effectStyleLst>
        <a:effectStyle>
          <a:effectLst/>
        </a:effectStyle>
        <a:effectStyle>
          <a:effectLst/>
        </a:effectStyle>
        <a:effectStyle>
          <a:effectLst/>
        </a:effectStyle>
      </a:effectStyleLst>
      <a:bgFillStyleLst>
        <a:solidFill>
          <a:schemeClr val="phClr"/>
        </a:solidFill>
        <a:solidFill>
          <a:schemeClr val="phClr">
            <a:tint val="95000"/>
          </a:schemeClr>
        </a:solidFill>
        <a:gradFill>
          <a:gsLst>
            <a:gs pos="0">
              <a:schemeClr val="phClr">
                <a:tint val="93000"/>
                <a:shade val="98000"/>
                <a:lumMod val="102000"/>
              </a:schemeClr>
            </a:gs>
            <a:gs pos="50000">
              <a:schemeClr val="phClr">
                <a:tint val="98000"/>
                <a:shade val="90000"/>
                <a:lumMod val="103000"/>
              </a:schemeClr>
            </a:gs>
            <a:gs pos="100000">
              <a:schemeClr val="phClr">
                <a:shade val="63000"/>
              </a:schemeClr>
            </a:gs>
          </a:gsLst>
          <a:lin ang="5400000" scaled="0"/>
          <a:tileRect l="0" t="0" r="0" b="0"/>
        </a:gradFill>
      </a:bgFillStyleLst>
    </a:fmtScheme>
  </a:themeElements>
</a:theme>
</file>

<file path=docProps/app.xml><?xml version="1.0" encoding="utf-8"?>
<Properties xmlns="http://schemas.openxmlformats.org/officeDocument/2006/extended-properties" xmlns:vt="http://schemas.openxmlformats.org/officeDocument/2006/docPropsVTypes">
  <Application>LibreOffice/25.2.0.3$MacOSX_AARCH64 LibreOffice_project/e1cf4a87eb02d755bce1a01209907ea5ddc8f069</Application>
  <AppVersion>15.0000</AppVersion>
  <Pages>8</Pages>
  <Words>2561</Words>
  <Characters>16510</Characters>
  <CharactersWithSpaces>18968</CharactersWithSpaces>
  <Paragraphs>81</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description>Styles and macros for Springer Lecture Notes</dc:description>
  <dc:language>es-ES</dc:language>
  <dc:subject/>
  <dc:title/>
</cp:coreProperties>
</file>

<file path=docProps/custom.xml><?xml version="1.0" encoding="utf-8"?>
<Properties xmlns="http://schemas.openxmlformats.org/officeDocument/2006/custom-properties" xmlns:vt="http://schemas.openxmlformats.org/officeDocument/2006/docPropsVTypes"/>
</file>