
<file path=[Content_Types].xml><?xml version="1.0" encoding="utf-8"?>
<Types xmlns="http://schemas.openxmlformats.org/package/2006/content-types">
  <Default Extension="bmp" ContentType="image/bmp"/>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596"/>
      </w:tblGrid>
      <w:tr>
        <w:tc>
          <w:tcPr>
            <w:tcW w:type="dxa" w:w="10596"/>
            <w:shd w:fill="1F5A96"/>
            <w:tcMar>
              <w:top w:w="70" w:type="dxa"/>
              <w:left w:w="100" w:type="dxa"/>
              <w:bottom w:w="55" w:type="dxa"/>
              <w:right w:w="100" w:type="dxa"/>
            </w:tcMar>
            <w:tcBorders>
              <w:top w:val="single" w:sz="12" w:space="0" w:color="1F5A96"/>
              <w:left w:val="single" w:sz="12" w:space="0" w:color="1F5A96"/>
              <w:bottom w:val="single" w:sz="12" w:space="0" w:color="1F5A96"/>
              <w:right w:val="single" w:sz="12" w:space="0" w:color="1F5A96"/>
            </w:tcBorders>
          </w:tcPr>
          <w:p>
            <w:pPr>
              <w:spacing w:before="0" w:after="20" w:line="252" w:lineRule="auto"/>
              <w:jc w:val="center"/>
            </w:pPr>
            <w:r/>
            <w:r>
              <w:rPr>
                <w:rFonts w:ascii="Calibri" w:hAnsi="Calibri" w:eastAsia="Calibri"/>
                <w:b/>
                <w:i w:val="0"/>
                <w:color w:val="FFFFFF"/>
                <w:sz w:val="27"/>
              </w:rPr>
              <w:t>Liceo 7 Luisa Saavedra — Providencia</w:t>
            </w:r>
          </w:p>
          <w:p>
            <w:pPr>
              <w:spacing w:before="0" w:after="20" w:line="252" w:lineRule="auto"/>
              <w:jc w:val="center"/>
            </w:pPr>
            <w:r>
              <w:rPr>
                <w:rFonts w:ascii="Calibri" w:hAnsi="Calibri" w:eastAsia="Calibri"/>
                <w:b w:val="0"/>
                <w:i w:val="0"/>
                <w:color w:val="DBEAFE"/>
                <w:sz w:val="16"/>
              </w:rPr>
              <w:t>Informe one page de consumo hídrico  ·  Sala de bomba  ·  Nodo WES 000006-04  ·  12/08/2026</w:t>
            </w:r>
          </w:p>
        </w:tc>
      </w:tr>
    </w:tbl>
    <w:p>
      <w:pPr>
        <w:spacing w:after="80" w:before="0" w:line="259" w:lineRule="auto"/>
      </w:pPr>
    </w:p>
    <w:p>
      <w:pPr>
        <w:spacing w:after="40" w:before="0" w:line="259" w:lineRule="auto"/>
      </w:pPr>
      <w:r>
        <w:rPr>
          <w:rFonts w:ascii="Calibri" w:hAnsi="Calibri" w:eastAsia="Calibri"/>
          <w:b/>
          <w:i w:val="0"/>
          <w:color w:val="1F5A96"/>
          <w:sz w:val="21"/>
        </w:rPr>
        <w:t>Situación detectada</w:t>
      </w:r>
    </w:p>
    <w:p>
      <w:pPr>
        <w:spacing w:after="80" w:before="0" w:line="259" w:lineRule="auto"/>
      </w:pPr>
      <w:r>
        <w:rPr>
          <w:rFonts w:ascii="Calibri" w:hAnsi="Calibri" w:eastAsia="Calibri"/>
          <w:b w:val="0"/>
          <w:i w:val="0"/>
          <w:color w:val="1A1A1A"/>
          <w:sz w:val="18"/>
        </w:rPr>
        <w:t>Desde julio opera la sala de bomba con monitoreo WES y corte nocturno programado (23:00–06:00). El 7 de agosto el control WES quedó sin efecto operativo. En la visita técnica del 12/08 se encontró la llave de emergencia abierta: el agua que debería cortarse por horario sigue pasando. Además, la automatización de la empresa de la sala de bomba está tomando el control del sistema, por lo que el equipo WES no puede mantenerse activo ni ejecutar el corte: hoy el agua no se corta nunca.</w:t>
      </w:r>
    </w:p>
    <w:p>
      <w:pPr>
        <w:spacing w:after="20" w:before="0" w:line="259" w:lineRule="auto"/>
        <w:jc w:val="center"/>
      </w:pPr>
      <w:r>
        <w:drawing>
          <wp:inline xmlns:a="http://schemas.openxmlformats.org/drawingml/2006/main" xmlns:pic="http://schemas.openxmlformats.org/drawingml/2006/picture">
            <wp:extent cx="6080760" cy="2212196"/>
            <wp:docPr id="1" name="Picture 1"/>
            <wp:cNvGraphicFramePr>
              <a:graphicFrameLocks noChangeAspect="1"/>
            </wp:cNvGraphicFramePr>
            <a:graphic>
              <a:graphicData uri="http://schemas.openxmlformats.org/drawingml/2006/picture">
                <pic:pic>
                  <pic:nvPicPr>
                    <pic:cNvPr id="0" name="chart_onepage_profesional.png"/>
                    <pic:cNvPicPr/>
                  </pic:nvPicPr>
                  <pic:blipFill>
                    <a:blip r:embed="rId10"/>
                    <a:stretch>
                      <a:fillRect/>
                    </a:stretch>
                  </pic:blipFill>
                  <pic:spPr>
                    <a:xfrm>
                      <a:off x="0" y="0"/>
                      <a:ext cx="6080760" cy="2212196"/>
                    </a:xfrm>
                    <a:prstGeom prst="rect"/>
                  </pic:spPr>
                </pic:pic>
              </a:graphicData>
            </a:graphic>
          </wp:inline>
        </w:drawing>
      </w:r>
    </w:p>
    <w:p>
      <w:pPr>
        <w:spacing w:after="100" w:before="0" w:line="259" w:lineRule="auto"/>
      </w:pPr>
      <w:r>
        <w:rPr>
          <w:rFonts w:ascii="Calibri" w:hAnsi="Calibri" w:eastAsia="Calibri"/>
          <w:b w:val="0"/>
          <w:i/>
          <w:color w:val="4B5563"/>
          <w:sz w:val="15"/>
        </w:rPr>
        <w:t>Con control WES la madrugada cae a ~0 m³/h. Sin corte efectivo, el flujo nocturno se mantiene (9–19 m³/h) y el consumo diario —incluido el fin de semana— queda permanentemente elevado.</w:t>
      </w:r>
    </w:p>
    <w:p>
      <w:pPr>
        <w:spacing w:after="40" w:before="0" w:line="259" w:lineRule="auto"/>
      </w:pPr>
      <w:r>
        <w:rPr>
          <w:rFonts w:ascii="Calibri" w:hAnsi="Calibri" w:eastAsia="Calibri"/>
          <w:b/>
          <w:i w:val="0"/>
          <w:color w:val="1F5A96"/>
          <w:sz w:val="21"/>
        </w:rPr>
        <w:t>Qué significa para el establecimiento</w:t>
      </w:r>
    </w:p>
    <w:p>
      <w:pPr>
        <w:spacing w:after="100" w:before="0" w:line="269" w:lineRule="auto"/>
      </w:pPr>
      <w:r>
        <w:rPr>
          <w:rFonts w:ascii="Calibri" w:hAnsi="Calibri" w:eastAsia="Calibri"/>
          <w:b w:val="0"/>
          <w:i w:val="0"/>
          <w:color w:val="1A1A1A"/>
          <w:sz w:val="18"/>
        </w:rPr>
        <w:t xml:space="preserve">Un día hábil con control WES consume cerca de </w:t>
      </w:r>
      <w:r>
        <w:rPr>
          <w:rFonts w:ascii="Calibri" w:hAnsi="Calibri" w:eastAsia="Calibri"/>
          <w:b/>
          <w:i w:val="0"/>
          <w:color w:val="1F5A96"/>
          <w:sz w:val="18"/>
        </w:rPr>
        <w:t>393 m³</w:t>
      </w:r>
      <w:r>
        <w:rPr>
          <w:rFonts w:ascii="Calibri" w:hAnsi="Calibri" w:eastAsia="Calibri"/>
          <w:b w:val="0"/>
          <w:i w:val="0"/>
          <w:color w:val="1A1A1A"/>
          <w:sz w:val="18"/>
        </w:rPr>
        <w:t xml:space="preserve">. Desde que el corte dejó de actuar, el mismo tipo de día sube a </w:t>
      </w:r>
      <w:r>
        <w:rPr>
          <w:rFonts w:ascii="Calibri" w:hAnsi="Calibri" w:eastAsia="Calibri"/>
          <w:b/>
          <w:i w:val="0"/>
          <w:color w:val="C0392B"/>
          <w:sz w:val="18"/>
        </w:rPr>
        <w:t>577 m³ (+47%)</w:t>
      </w:r>
      <w:r>
        <w:rPr>
          <w:rFonts w:ascii="Calibri" w:hAnsi="Calibri" w:eastAsia="Calibri"/>
          <w:b w:val="0"/>
          <w:i w:val="0"/>
          <w:color w:val="1A1A1A"/>
          <w:sz w:val="18"/>
        </w:rPr>
        <w:t xml:space="preserve">. Los fines de semana, que antes quedaban en ~0, ahora marcan alrededor de </w:t>
      </w:r>
      <w:r>
        <w:rPr>
          <w:rFonts w:ascii="Calibri" w:hAnsi="Calibri" w:eastAsia="Calibri"/>
          <w:b/>
          <w:i w:val="0"/>
          <w:color w:val="C0392B"/>
          <w:sz w:val="18"/>
        </w:rPr>
        <w:t>407 m³/día</w:t>
      </w:r>
      <w:r>
        <w:rPr>
          <w:rFonts w:ascii="Calibri" w:hAnsi="Calibri" w:eastAsia="Calibri"/>
          <w:b w:val="0"/>
          <w:i w:val="0"/>
          <w:color w:val="1A1A1A"/>
          <w:sz w:val="18"/>
        </w:rPr>
        <w:t xml:space="preserve">. En cinco días (7–11 ago) el exceso acumulado fue ≈ </w:t>
      </w:r>
      <w:r>
        <w:rPr>
          <w:rFonts w:ascii="Calibri" w:hAnsi="Calibri" w:eastAsia="Calibri"/>
          <w:b/>
          <w:i w:val="0"/>
          <w:color w:val="C0392B"/>
          <w:sz w:val="18"/>
        </w:rPr>
        <w:t>1.370 m³</w:t>
      </w:r>
      <w:r>
        <w:rPr>
          <w:rFonts w:ascii="Calibri" w:hAnsi="Calibri" w:eastAsia="Calibri"/>
          <w:b w:val="0"/>
          <w:i w:val="0"/>
          <w:color w:val="1A1A1A"/>
          <w:sz w:val="18"/>
        </w:rPr>
        <w:t>: agua que el horario de corte debería haber detenido, no un aumento de uso pedagógico.</w:t>
      </w:r>
    </w:p>
    <w:p>
      <w:pPr>
        <w:spacing w:after="40" w:before="0" w:line="259" w:lineRule="auto"/>
      </w:pPr>
      <w:r>
        <w:rPr>
          <w:rFonts w:ascii="Calibri" w:hAnsi="Calibri" w:eastAsia="Calibri"/>
          <w:b/>
          <w:i w:val="0"/>
          <w:color w:val="1F5A96"/>
          <w:sz w:val="21"/>
        </w:rPr>
        <w:t>Proyección mensual si se mantiene sin corte</w:t>
      </w:r>
    </w:p>
    <w:tbl>
      <w:tblPr>
        <w:tblW w:type="auto" w:w="0"/>
        <w:tblLook w:firstColumn="1" w:firstRow="1" w:lastColumn="0" w:lastRow="0" w:noHBand="0" w:noVBand="1" w:val="04A0"/>
      </w:tblPr>
      <w:tblGrid>
        <w:gridCol w:w="3532"/>
        <w:gridCol w:w="3532"/>
        <w:gridCol w:w="3532"/>
      </w:tblGrid>
      <w:tr>
        <w:tc>
          <w:tcPr>
            <w:tcW w:type="dxa" w:w="3532"/>
            <w:shd w:fill="1F5A96"/>
            <w:tcMar>
              <w:top w:w="55" w:type="dxa"/>
              <w:left w:w="70" w:type="dxa"/>
              <w:bottom w:w="45" w:type="dxa"/>
              <w:right w:w="70" w:type="dxa"/>
            </w:tcMar>
            <w:tcBorders>
              <w:top w:val="single" w:sz="12" w:space="0" w:color="1F5A96"/>
              <w:left w:val="single" w:sz="12" w:space="0" w:color="1F5A96"/>
              <w:bottom w:val="single" w:sz="12" w:space="0" w:color="1F5A96"/>
              <w:right w:val="single" w:sz="12" w:space="0" w:color="1F5A96"/>
            </w:tcBorders>
          </w:tcPr>
          <w:p>
            <w:pPr>
              <w:spacing w:before="0" w:after="20" w:line="252" w:lineRule="auto"/>
              <w:jc w:val="center"/>
            </w:pPr>
            <w:r/>
            <w:r>
              <w:rPr>
                <w:rFonts w:ascii="Calibri" w:hAnsi="Calibri" w:eastAsia="Calibri"/>
                <w:b/>
                <w:i w:val="0"/>
                <w:color w:val="DBEAFE"/>
                <w:sz w:val="15"/>
              </w:rPr>
              <w:t>Con control WES</w:t>
            </w:r>
          </w:p>
          <w:p>
            <w:pPr>
              <w:spacing w:before="0" w:after="20" w:line="252" w:lineRule="auto"/>
              <w:jc w:val="center"/>
            </w:pPr>
            <w:r>
              <w:rPr>
                <w:rFonts w:ascii="Calibri" w:hAnsi="Calibri" w:eastAsia="Calibri"/>
                <w:b/>
                <w:i w:val="0"/>
                <w:color w:val="FFFFFF"/>
                <w:sz w:val="22"/>
              </w:rPr>
              <w:t>≈ 8.600 m³/mes</w:t>
            </w:r>
          </w:p>
          <w:p>
            <w:pPr>
              <w:spacing w:before="0" w:after="20" w:line="252" w:lineRule="auto"/>
              <w:jc w:val="center"/>
            </w:pPr>
            <w:r>
              <w:rPr>
                <w:rFonts w:ascii="Calibri" w:hAnsi="Calibri" w:eastAsia="Calibri"/>
                <w:b w:val="0"/>
                <w:i w:val="0"/>
                <w:color w:val="FEF2F2"/>
                <w:sz w:val="14"/>
              </w:rPr>
              <w:t>Escenario normal</w:t>
              <w:br/>
              <w:t>del colegio</w:t>
            </w:r>
          </w:p>
        </w:tc>
        <w:tc>
          <w:tcPr>
            <w:tcW w:type="dxa" w:w="3532"/>
            <w:shd w:fill="C0392B"/>
            <w:tcMar>
              <w:top w:w="55" w:type="dxa"/>
              <w:left w:w="70" w:type="dxa"/>
              <w:bottom w:w="45" w:type="dxa"/>
              <w:right w:w="70" w:type="dxa"/>
            </w:tcMar>
            <w:tcBorders>
              <w:top w:val="single" w:sz="12" w:space="0" w:color="C0392B"/>
              <w:left w:val="single" w:sz="12" w:space="0" w:color="C0392B"/>
              <w:bottom w:val="single" w:sz="12" w:space="0" w:color="C0392B"/>
              <w:right w:val="single" w:sz="12" w:space="0" w:color="C0392B"/>
            </w:tcBorders>
          </w:tcPr>
          <w:p>
            <w:pPr>
              <w:spacing w:before="0" w:after="20" w:line="252" w:lineRule="auto"/>
              <w:jc w:val="center"/>
            </w:pPr>
            <w:r/>
            <w:r>
              <w:rPr>
                <w:rFonts w:ascii="Calibri" w:hAnsi="Calibri" w:eastAsia="Calibri"/>
                <w:b/>
                <w:i w:val="0"/>
                <w:color w:val="DBEAFE"/>
                <w:sz w:val="15"/>
              </w:rPr>
              <w:t>Sin corte efectivo</w:t>
            </w:r>
          </w:p>
          <w:p>
            <w:pPr>
              <w:spacing w:before="0" w:after="20" w:line="252" w:lineRule="auto"/>
              <w:jc w:val="center"/>
            </w:pPr>
            <w:r>
              <w:rPr>
                <w:rFonts w:ascii="Calibri" w:hAnsi="Calibri" w:eastAsia="Calibri"/>
                <w:b/>
                <w:i w:val="0"/>
                <w:color w:val="FFFFFF"/>
                <w:sz w:val="22"/>
              </w:rPr>
              <w:t>≈ 16.000 m³/mes</w:t>
            </w:r>
          </w:p>
          <w:p>
            <w:pPr>
              <w:spacing w:before="0" w:after="20" w:line="252" w:lineRule="auto"/>
              <w:jc w:val="center"/>
            </w:pPr>
            <w:r>
              <w:rPr>
                <w:rFonts w:ascii="Calibri" w:hAnsi="Calibri" w:eastAsia="Calibri"/>
                <w:b w:val="0"/>
                <w:i w:val="0"/>
                <w:color w:val="FEF2F2"/>
                <w:sz w:val="14"/>
              </w:rPr>
              <w:t>Tendencia actual</w:t>
              <w:br/>
              <w:t>medida 7–11 ago</w:t>
            </w:r>
          </w:p>
        </w:tc>
        <w:tc>
          <w:tcPr>
            <w:tcW w:type="dxa" w:w="3532"/>
            <w:shd w:fill="7F1D1D"/>
            <w:tcMar>
              <w:top w:w="55" w:type="dxa"/>
              <w:left w:w="70" w:type="dxa"/>
              <w:bottom w:w="45" w:type="dxa"/>
              <w:right w:w="70" w:type="dxa"/>
            </w:tcMar>
            <w:tcBorders>
              <w:top w:val="single" w:sz="12" w:space="0" w:color="7F1D1D"/>
              <w:left w:val="single" w:sz="12" w:space="0" w:color="7F1D1D"/>
              <w:bottom w:val="single" w:sz="12" w:space="0" w:color="7F1D1D"/>
              <w:right w:val="single" w:sz="12" w:space="0" w:color="7F1D1D"/>
            </w:tcBorders>
          </w:tcPr>
          <w:p>
            <w:pPr>
              <w:spacing w:before="0" w:after="20" w:line="252" w:lineRule="auto"/>
              <w:jc w:val="center"/>
            </w:pPr>
            <w:r/>
            <w:r>
              <w:rPr>
                <w:rFonts w:ascii="Calibri" w:hAnsi="Calibri" w:eastAsia="Calibri"/>
                <w:b/>
                <w:i w:val="0"/>
                <w:color w:val="DBEAFE"/>
                <w:sz w:val="15"/>
              </w:rPr>
              <w:t>Exceso evitable</w:t>
            </w:r>
          </w:p>
          <w:p>
            <w:pPr>
              <w:spacing w:before="0" w:after="20" w:line="252" w:lineRule="auto"/>
              <w:jc w:val="center"/>
            </w:pPr>
            <w:r>
              <w:rPr>
                <w:rFonts w:ascii="Calibri" w:hAnsi="Calibri" w:eastAsia="Calibri"/>
                <w:b/>
                <w:i w:val="0"/>
                <w:color w:val="FFFFFF"/>
                <w:sz w:val="22"/>
              </w:rPr>
              <w:t>≈ 7.300 m³/mes</w:t>
            </w:r>
          </w:p>
          <w:p>
            <w:pPr>
              <w:spacing w:before="0" w:after="20" w:line="252" w:lineRule="auto"/>
              <w:jc w:val="center"/>
            </w:pPr>
            <w:r>
              <w:rPr>
                <w:rFonts w:ascii="Calibri" w:hAnsi="Calibri" w:eastAsia="Calibri"/>
                <w:b w:val="0"/>
                <w:i w:val="0"/>
                <w:color w:val="FEF2F2"/>
                <w:sz w:val="14"/>
              </w:rPr>
              <w:t>~$10,2 millones ref.*</w:t>
              <w:br/>
              <w:t>al restablecer el corte</w:t>
            </w:r>
          </w:p>
        </w:tc>
      </w:tr>
    </w:tbl>
    <w:p>
      <w:pPr>
        <w:spacing w:after="100" w:before="60" w:line="259" w:lineRule="auto"/>
      </w:pPr>
      <w:r>
        <w:rPr>
          <w:rFonts w:ascii="Calibri" w:hAnsi="Calibri" w:eastAsia="Calibri"/>
          <w:b w:val="0"/>
          <w:i/>
          <w:color w:val="4B5563"/>
          <w:sz w:val="14"/>
        </w:rPr>
        <w:t>*Tarifa referencial $1.400/m³ (orientativa, no factura). Extrapolación 22 hábiles + 8 fin de semana.</w:t>
      </w:r>
    </w:p>
    <w:p>
      <w:pPr>
        <w:spacing w:after="40" w:before="0" w:line="259" w:lineRule="auto"/>
      </w:pPr>
      <w:r>
        <w:rPr>
          <w:rFonts w:ascii="Calibri" w:hAnsi="Calibri" w:eastAsia="Calibri"/>
          <w:b/>
          <w:i w:val="0"/>
          <w:color w:val="1F5A96"/>
          <w:sz w:val="21"/>
        </w:rPr>
        <w:t>Recomendación</w:t>
      </w:r>
    </w:p>
    <w:tbl>
      <w:tblPr>
        <w:tblW w:type="auto" w:w="0"/>
        <w:tblLook w:firstColumn="1" w:firstRow="1" w:lastColumn="0" w:lastRow="0" w:noHBand="0" w:noVBand="1" w:val="04A0"/>
      </w:tblPr>
      <w:tblGrid>
        <w:gridCol w:w="10596"/>
      </w:tblGrid>
      <w:tr>
        <w:tc>
          <w:tcPr>
            <w:tcW w:type="dxa" w:w="10596"/>
            <w:shd w:fill="EFF6FF"/>
            <w:tcMar>
              <w:top w:w="60" w:type="dxa"/>
              <w:left w:w="100" w:type="dxa"/>
              <w:bottom w:w="55" w:type="dxa"/>
              <w:right w:w="100" w:type="dxa"/>
            </w:tcMar>
            <w:tcBorders>
              <w:top w:val="single" w:sz="12" w:space="0" w:color="1F5A96"/>
              <w:left w:val="single" w:sz="12" w:space="0" w:color="1F5A96"/>
              <w:bottom w:val="single" w:sz="12" w:space="0" w:color="1F5A96"/>
              <w:right w:val="single" w:sz="12" w:space="0" w:color="1F5A96"/>
            </w:tcBorders>
          </w:tcPr>
          <w:p>
            <w:pPr>
              <w:spacing w:before="0" w:after="20" w:line="252" w:lineRule="auto"/>
            </w:pPr>
            <w:r/>
            <w:r>
              <w:rPr>
                <w:rFonts w:ascii="Calibri" w:hAnsi="Calibri" w:eastAsia="Calibri"/>
                <w:b/>
                <w:i w:val="0"/>
                <w:color w:val="1F5A96"/>
                <w:sz w:val="18"/>
              </w:rPr>
              <w:t>Solicitar a la empresa de la sala de bomba que corrija la instalación y su automatización.</w:t>
            </w:r>
          </w:p>
          <w:p>
            <w:pPr>
              <w:spacing w:before="0" w:after="20" w:line="252" w:lineRule="auto"/>
            </w:pPr>
            <w:r>
              <w:rPr>
                <w:rFonts w:ascii="Calibri" w:hAnsi="Calibri" w:eastAsia="Calibri"/>
                <w:b w:val="0"/>
                <w:i w:val="0"/>
                <w:color w:val="1A1A1A"/>
                <w:sz w:val="18"/>
              </w:rPr>
              <w:t>Hoy están controlando automáticamente el sistema; por eso el equipo WES no puede quedar activo ni ejecutar el corte programado: el agua no se corta nunca. Mientras la llave de emergencia siga abierta / el bypass automático interfiera, el colegio proyecta casi el doble de consumo mensual.</w:t>
            </w:r>
          </w:p>
          <w:p>
            <w:pPr>
              <w:spacing w:before="0" w:after="20" w:line="252" w:lineRule="auto"/>
            </w:pPr>
            <w:r>
              <w:rPr>
                <w:rFonts w:ascii="Calibri" w:hAnsi="Calibri" w:eastAsia="Calibri"/>
                <w:b/>
                <w:i w:val="0"/>
                <w:color w:val="1A1A1A"/>
                <w:sz w:val="18"/>
              </w:rPr>
              <w:t>Pedido concreto:  1) Cerrar y asegurar la llave de emergencia.  2) Ajustar la automatización de bomba para que no anule el corte WES.  3) Permitir reactivar WES en horario 23:00–06:00 y verificar la misma noche que 01:00–05:00 vuelvan a ≈ 0 m³/h.</w:t>
            </w:r>
          </w:p>
        </w:tc>
      </w:tr>
    </w:tbl>
    <w:p>
      <w:pPr>
        <w:spacing w:after="0" w:before="100" w:line="259" w:lineRule="auto"/>
        <w:jc w:val="center"/>
      </w:pPr>
      <w:r>
        <w:rPr>
          <w:rFonts w:ascii="Calibri" w:hAnsi="Calibri" w:eastAsia="Calibri"/>
          <w:b w:val="0"/>
          <w:i w:val="0"/>
          <w:color w:val="4B5563"/>
          <w:sz w:val="14"/>
        </w:rPr>
        <w:t>WES Chile  ·  Fuente: serie horaria API nodo 000006-04  ·  Julio 2026 (sala de bomba operativa): 5.006 m³</w:t>
      </w:r>
    </w:p>
    <w:sectPr w:rsidR="00FC693F" w:rsidRPr="0006063C" w:rsidSect="00034616">
      <w:headerReference w:type="default" r:id="rId9"/>
      <w:pgSz w:w="12240" w:h="15840"/>
      <w:pgMar w:top="595" w:right="822" w:bottom="510"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right"/>
    </w:pPr>
    <w:r>
      <w:drawing>
        <wp:inline xmlns:a="http://schemas.openxmlformats.org/drawingml/2006/main" xmlns:pic="http://schemas.openxmlformats.org/drawingml/2006/picture">
          <wp:extent cx="1371600" cy="304081"/>
          <wp:docPr id="1" name="Picture 1"/>
          <wp:cNvGraphicFramePr>
            <a:graphicFrameLocks noChangeAspect="1"/>
          </wp:cNvGraphicFramePr>
          <a:graphic>
            <a:graphicData uri="http://schemas.openxmlformats.org/drawingml/2006/picture">
              <pic:pic>
                <pic:nvPicPr>
                  <pic:cNvPr id="0" name="logo wes.bmp"/>
                  <pic:cNvPicPr/>
                </pic:nvPicPr>
                <pic:blipFill>
                  <a:blip r:embed="rId1"/>
                  <a:stretch>
                    <a:fillRect/>
                  </a:stretch>
                </pic:blipFill>
                <pic:spPr>
                  <a:xfrm>
                    <a:off x="0" y="0"/>
                    <a:ext cx="1371600" cy="30408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b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