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before="0"/>
        <w:jc w:val="center"/>
      </w:pPr>
      <w:r>
        <w:rPr>
          <w:b/>
          <w:color w:val="000000"/>
          <w:sz w:val="40"/>
        </w:rPr>
        <w:t>Estudio de diagnóstico de gestión hídrica</w:t>
      </w:r>
    </w:p>
    <w:p>
      <w:pPr>
        <w:spacing w:after="160" w:before="0"/>
        <w:jc w:val="center"/>
      </w:pPr>
      <w:r>
        <w:rPr>
          <w:b/>
          <w:color w:val="000000"/>
          <w:sz w:val="32"/>
        </w:rPr>
        <w:t>Clínica Bupa Antofagasta</w:t>
      </w:r>
    </w:p>
    <w:p>
      <w:pPr>
        <w:spacing w:after="400" w:before="0"/>
        <w:jc w:val="center"/>
      </w:pPr>
      <w:r>
        <w:rPr>
          <w:b w:val="0"/>
          <w:color w:val="000000"/>
          <w:sz w:val="24"/>
        </w:rPr>
        <w:t>WES — Monitoreo Inteligente</w:t>
      </w:r>
    </w:p>
    <w:p>
      <w:pPr>
        <w:spacing w:after="120" w:before="0"/>
        <w:jc w:val="center"/>
      </w:pPr>
      <w:r>
        <w:rPr>
          <w:b/>
          <w:color w:val="000000"/>
          <w:sz w:val="24"/>
        </w:rPr>
        <w:t>Octubre 2026</w:t>
      </w:r>
    </w:p>
    <w:p>
      <w:pPr>
        <w:spacing w:after="120" w:before="160"/>
        <w:jc w:val="center"/>
      </w:pPr>
      <w:r>
        <w:rPr>
          <w:b w:val="0"/>
          <w:color w:val="000000"/>
          <w:sz w:val="20"/>
        </w:rPr>
        <w:t>Periodo de monitoreo: 23/07/2026 – 11/10/2026 (81 días)</w:t>
      </w:r>
    </w:p>
    <w:p>
      <w:r>
        <w:br w:type="page"/>
      </w:r>
    </w:p>
    <w:p>
      <w:pPr>
        <w:spacing w:before="160" w:after="120"/>
        <w:jc w:val="left"/>
      </w:pPr>
      <w:r>
        <w:rPr>
          <w:b/>
          <w:color w:val="003366"/>
          <w:sz w:val="32"/>
        </w:rPr>
        <w:t>Índice</w:t>
      </w:r>
    </w:p>
    <w:p>
      <w:pPr>
        <w:spacing w:after="40"/>
      </w:pPr>
      <w:r>
        <w:rPr>
          <w:b w:val="0"/>
          <w:color w:val="000000"/>
          <w:sz w:val="20"/>
        </w:rPr>
        <w:t>Resumen Ejecutivo</w:t>
      </w:r>
      <w:r>
        <w:rPr>
          <w:b w:val="0"/>
          <w:color w:val="000000"/>
          <w:sz w:val="20"/>
        </w:rPr>
        <w:tab/>
        <w:t>2</w:t>
      </w:r>
    </w:p>
    <w:p>
      <w:pPr>
        <w:spacing w:after="40"/>
      </w:pPr>
      <w:r>
        <w:rPr>
          <w:b w:val="0"/>
          <w:color w:val="000000"/>
          <w:sz w:val="20"/>
        </w:rPr>
        <w:t>I. Antecedentes</w:t>
      </w:r>
      <w:r>
        <w:rPr>
          <w:b w:val="0"/>
          <w:color w:val="000000"/>
          <w:sz w:val="20"/>
        </w:rPr>
        <w:tab/>
        <w:t>3</w:t>
      </w:r>
    </w:p>
    <w:p>
      <w:pPr>
        <w:spacing w:after="40"/>
      </w:pPr>
      <w:r>
        <w:rPr>
          <w:b w:val="0"/>
          <w:color w:val="000000"/>
          <w:sz w:val="20"/>
        </w:rPr>
        <w:t>II. Objetivos y resultados esperados</w:t>
      </w:r>
      <w:r>
        <w:rPr>
          <w:b w:val="0"/>
          <w:color w:val="000000"/>
          <w:sz w:val="20"/>
        </w:rPr>
        <w:tab/>
        <w:t>4</w:t>
      </w:r>
    </w:p>
    <w:p>
      <w:pPr>
        <w:spacing w:after="40"/>
      </w:pPr>
      <w:r>
        <w:rPr>
          <w:b w:val="0"/>
          <w:color w:val="000000"/>
          <w:sz w:val="20"/>
        </w:rPr>
        <w:t>III. Definición de sectores a monitorear</w:t>
      </w:r>
      <w:r>
        <w:rPr>
          <w:b w:val="0"/>
          <w:color w:val="000000"/>
          <w:sz w:val="20"/>
        </w:rPr>
        <w:tab/>
        <w:t>4</w:t>
      </w:r>
    </w:p>
    <w:p>
      <w:pPr>
        <w:spacing w:after="40"/>
      </w:pPr>
      <w:r>
        <w:rPr>
          <w:b w:val="0"/>
          <w:color w:val="000000"/>
          <w:sz w:val="20"/>
        </w:rPr>
        <w:t>IV. Fotografías de instalación</w:t>
      </w:r>
      <w:r>
        <w:rPr>
          <w:b w:val="0"/>
          <w:color w:val="000000"/>
          <w:sz w:val="20"/>
        </w:rPr>
        <w:tab/>
        <w:t>5</w:t>
      </w:r>
    </w:p>
    <w:p>
      <w:pPr>
        <w:spacing w:after="40"/>
      </w:pPr>
      <w:r>
        <w:rPr>
          <w:b w:val="0"/>
          <w:color w:val="000000"/>
          <w:sz w:val="20"/>
        </w:rPr>
        <w:t>V. Análisis de sectores monitoreados</w:t>
      </w:r>
      <w:r>
        <w:rPr>
          <w:b w:val="0"/>
          <w:color w:val="000000"/>
          <w:sz w:val="20"/>
        </w:rPr>
        <w:tab/>
        <w:t>6</w:t>
      </w:r>
    </w:p>
    <w:p>
      <w:pPr>
        <w:spacing w:after="40"/>
      </w:pPr>
      <w:r>
        <w:rPr>
          <w:b w:val="0"/>
          <w:color w:val="000000"/>
          <w:sz w:val="20"/>
        </w:rPr>
        <w:t xml:space="preserve">    1) Medidor Principal Sanitaria</w:t>
      </w:r>
      <w:r>
        <w:rPr>
          <w:b w:val="0"/>
          <w:color w:val="000000"/>
          <w:sz w:val="20"/>
        </w:rPr>
        <w:tab/>
        <w:t>6</w:t>
      </w:r>
    </w:p>
    <w:p>
      <w:pPr>
        <w:spacing w:after="40"/>
      </w:pPr>
      <w:r>
        <w:rPr>
          <w:b w:val="0"/>
          <w:color w:val="000000"/>
          <w:sz w:val="20"/>
        </w:rPr>
        <w:t xml:space="preserve">    2) Sala de Bomba Principal</w:t>
      </w:r>
      <w:r>
        <w:rPr>
          <w:b w:val="0"/>
          <w:color w:val="000000"/>
          <w:sz w:val="20"/>
        </w:rPr>
        <w:tab/>
        <w:t>7</w:t>
      </w:r>
    </w:p>
    <w:p>
      <w:pPr>
        <w:spacing w:after="40"/>
      </w:pPr>
      <w:r>
        <w:rPr>
          <w:b w:val="0"/>
          <w:color w:val="000000"/>
          <w:sz w:val="20"/>
        </w:rPr>
        <w:t xml:space="preserve">    3) Sala de Bomba Sexto Piso</w:t>
      </w:r>
      <w:r>
        <w:rPr>
          <w:b w:val="0"/>
          <w:color w:val="000000"/>
          <w:sz w:val="20"/>
        </w:rPr>
        <w:tab/>
        <w:t>8</w:t>
      </w:r>
    </w:p>
    <w:p>
      <w:pPr>
        <w:spacing w:after="40"/>
      </w:pPr>
      <w:r>
        <w:rPr>
          <w:b w:val="0"/>
          <w:color w:val="000000"/>
          <w:sz w:val="20"/>
        </w:rPr>
        <w:t xml:space="preserve">    4) Sala de Bomba N°2 (nota operativa)</w:t>
      </w:r>
      <w:r>
        <w:rPr>
          <w:b w:val="0"/>
          <w:color w:val="000000"/>
          <w:sz w:val="20"/>
        </w:rPr>
        <w:tab/>
        <w:t>8</w:t>
      </w:r>
    </w:p>
    <w:p>
      <w:pPr>
        <w:spacing w:after="40"/>
      </w:pPr>
      <w:r>
        <w:rPr>
          <w:b w:val="0"/>
          <w:color w:val="000000"/>
          <w:sz w:val="20"/>
        </w:rPr>
        <w:t>VI. Facturación sanitaria (Aguas Antofagasta)</w:t>
      </w:r>
      <w:r>
        <w:rPr>
          <w:b w:val="0"/>
          <w:color w:val="000000"/>
          <w:sz w:val="20"/>
        </w:rPr>
        <w:tab/>
        <w:t>9</w:t>
      </w:r>
    </w:p>
    <w:p>
      <w:pPr>
        <w:spacing w:after="40"/>
      </w:pPr>
      <w:r>
        <w:rPr>
          <w:b w:val="0"/>
          <w:color w:val="000000"/>
          <w:sz w:val="20"/>
        </w:rPr>
        <w:t>VII. Conclusiones y hallazgos</w:t>
      </w:r>
      <w:r>
        <w:rPr>
          <w:b w:val="0"/>
          <w:color w:val="000000"/>
          <w:sz w:val="20"/>
        </w:rPr>
        <w:tab/>
        <w:t>10</w:t>
      </w:r>
    </w:p>
    <w:p>
      <w:pPr>
        <w:spacing w:after="40"/>
      </w:pPr>
      <w:r>
        <w:rPr>
          <w:b w:val="0"/>
          <w:color w:val="000000"/>
          <w:sz w:val="20"/>
        </w:rPr>
        <w:t>VIII. Recomendaciones y próximos pasos</w:t>
      </w:r>
      <w:r>
        <w:rPr>
          <w:b w:val="0"/>
          <w:color w:val="000000"/>
          <w:sz w:val="20"/>
        </w:rPr>
        <w:tab/>
        <w:t>11</w:t>
      </w:r>
    </w:p>
    <w:p>
      <w:r>
        <w:br w:type="page"/>
      </w:r>
    </w:p>
    <w:p>
      <w:pPr>
        <w:spacing w:before="160" w:after="120"/>
        <w:jc w:val="left"/>
      </w:pPr>
      <w:r>
        <w:rPr>
          <w:b/>
          <w:color w:val="003366"/>
          <w:sz w:val="28"/>
        </w:rPr>
        <w:t>Resumen Ejecutivo</w:t>
      </w:r>
    </w:p>
    <w:p>
      <w:pPr>
        <w:spacing w:before="80" w:after="80"/>
      </w:pPr>
      <w:r>
        <w:rPr>
          <w:b/>
          <w:color w:val="003366"/>
          <w:sz w:val="22"/>
        </w:rPr>
        <w:t>Propósito y Alcance</w:t>
      </w:r>
    </w:p>
    <w:p>
      <w:pPr>
        <w:pStyle w:val="ListBullet"/>
        <w:spacing w:after="120" w:before="0"/>
        <w:jc w:val="both"/>
      </w:pPr>
      <w:r>
        <w:rPr>
          <w:b w:val="0"/>
          <w:color w:val="000000"/>
          <w:sz w:val="20"/>
        </w:rPr>
        <w:t>El Estudio tuvo como objetivo principal establecer una línea de base detallada del consumo hídrico de la Clínica Bupa Antofagasta y validar la solución de monitoreo inteligente de WES para potenciar la capacidad de gestión eficiente y sostenible del agua.</w:t>
      </w:r>
    </w:p>
    <w:p>
      <w:pPr>
        <w:pStyle w:val="ListBullet"/>
        <w:spacing w:after="120" w:before="0"/>
        <w:jc w:val="both"/>
      </w:pPr>
      <w:r>
        <w:rPr>
          <w:b w:val="0"/>
          <w:color w:val="000000"/>
          <w:sz w:val="20"/>
        </w:rPr>
        <w:t>El estudio contempló el monitoreo en línea de 4 puntos críticos durante un periodo de 81 días (23/07/2026 al 11/10/2026), permitiendo identificar perfiles de consumo diario y semanal, y detectar anomalías operacionales.</w:t>
      </w:r>
    </w:p>
    <w:p>
      <w:pPr>
        <w:spacing w:before="80" w:after="80"/>
      </w:pPr>
      <w:r>
        <w:rPr>
          <w:b/>
          <w:color w:val="003366"/>
          <w:sz w:val="22"/>
        </w:rPr>
        <w:t>Hallazgos Principales de Consumo</w:t>
      </w:r>
    </w:p>
    <w:p>
      <w:pPr>
        <w:pStyle w:val="ListBullet"/>
        <w:spacing w:after="120" w:before="0"/>
        <w:jc w:val="both"/>
      </w:pPr>
      <w:r>
        <w:rPr>
          <w:b w:val="0"/>
          <w:color w:val="000000"/>
          <w:sz w:val="20"/>
          <w:highlight w:val="yellow"/>
        </w:rPr>
        <w:t>Brecha de visibilidad (agua no contabilizada en salas monitoreadas): existe una diferencia de 3.354,7 m³ (49,5% del total Sanitaria) entre el Medidor Principal Sanitaria (6.772,3 m³) y la suma de Bomba Principal + Sexto Piso (3.417,6 m³). Las hipótesis apuntan a tramos de red no instrumentados (p. ej. empalmes previos a impulsión / otros consumos del recinto) y a la exclusión analítica de Sala de Bomba N°2 por lecturas inconsistentes desde septiembre.</w:t>
      </w:r>
    </w:p>
    <w:p>
      <w:pPr>
        <w:pStyle w:val="ListBullet"/>
        <w:spacing w:after="120" w:before="0"/>
        <w:jc w:val="both"/>
      </w:pPr>
      <w:r>
        <w:rPr>
          <w:b w:val="0"/>
          <w:color w:val="000000"/>
          <w:sz w:val="20"/>
          <w:highlight w:val="yellow"/>
        </w:rPr>
        <w:t>Sanitaria concentra el 100% de la cuenta: promedio 83,6 m³/día (rango 16,4–265,9 m³/día). Bomba Principal representa 44,6% y Sexto Piso 5,8% del volumen Sanitaria.</w:t>
      </w:r>
    </w:p>
    <w:p>
      <w:pPr>
        <w:pStyle w:val="ListBullet"/>
        <w:spacing w:after="120" w:before="0"/>
        <w:jc w:val="both"/>
      </w:pPr>
      <w:r>
        <w:rPr>
          <w:b w:val="0"/>
          <w:color w:val="000000"/>
          <w:sz w:val="20"/>
          <w:highlight w:val="yellow"/>
        </w:rPr>
        <w:t>Facturación Aguas Antofagasta (jun–sep 2026, 4 ciclos): 24.298 m³ y $67.273.160. El salto de volumen respecto del ritmo histórico se confirma en lecturas encadenadas del medidor 534 (sin cambio de medidor ni estimación).</w:t>
      </w:r>
    </w:p>
    <w:p>
      <w:pPr>
        <w:spacing w:before="80" w:after="80"/>
      </w:pPr>
      <w:r>
        <w:rPr>
          <w:b/>
          <w:color w:val="003366"/>
          <w:sz w:val="22"/>
        </w:rPr>
        <w:t>Recomendaciones Estratégicas</w:t>
      </w:r>
    </w:p>
    <w:p>
      <w:pPr>
        <w:pStyle w:val="ListBullet"/>
        <w:spacing w:after="120" w:before="0"/>
        <w:jc w:val="both"/>
      </w:pPr>
      <w:r>
        <w:rPr>
          <w:b w:val="0"/>
          <w:color w:val="000000"/>
          <w:sz w:val="20"/>
          <w:highlight w:val="yellow"/>
        </w:rPr>
        <w:t>Monitoreo incremental: extender la medición a tramos no visualizados (incluye revisar Sala N°2 con validación en terreno y eventual recalibración) para cerrar la brecha del 49,5%.</w:t>
      </w:r>
    </w:p>
    <w:p>
      <w:pPr>
        <w:pStyle w:val="ListBullet"/>
        <w:spacing w:after="120" w:before="0"/>
        <w:jc w:val="both"/>
      </w:pPr>
      <w:r>
        <w:rPr>
          <w:b w:val="0"/>
          <w:color w:val="000000"/>
          <w:sz w:val="20"/>
          <w:highlight w:val="yellow"/>
        </w:rPr>
        <w:t>Apoyo tecnológico: implementar Control Inteligente WES en sectores de alto consumo para gestionar demanda en horarios inhábiles (prioritario) y hábiles.</w:t>
      </w:r>
    </w:p>
    <w:p>
      <w:pPr>
        <w:pStyle w:val="ListBullet"/>
        <w:spacing w:after="120" w:before="0"/>
        <w:jc w:val="both"/>
      </w:pPr>
      <w:r>
        <w:rPr>
          <w:b w:val="0"/>
          <w:color w:val="000000"/>
          <w:sz w:val="20"/>
          <w:highlight w:val="yellow"/>
        </w:rPr>
        <w:t>Seguimiento factura vs WES: mantener contraste ciclo a ciclo entre boletas de Aguas Antofagasta (medidor 534) y el Medidor Principal Sanitaria WES.</w:t>
      </w:r>
    </w:p>
    <w:p>
      <w:r>
        <w:br w:type="page"/>
      </w:r>
    </w:p>
    <w:p>
      <w:pPr>
        <w:spacing w:before="160" w:after="120"/>
        <w:jc w:val="left"/>
      </w:pPr>
      <w:r>
        <w:rPr>
          <w:b/>
          <w:color w:val="003366"/>
          <w:sz w:val="28"/>
        </w:rPr>
        <w:t>I. Antecedentes</w:t>
      </w:r>
    </w:p>
    <w:p>
      <w:pPr>
        <w:pStyle w:val="ListBullet"/>
        <w:spacing w:after="120" w:before="0"/>
        <w:jc w:val="both"/>
      </w:pPr>
      <w:r>
        <w:rPr>
          <w:b w:val="0"/>
          <w:color w:val="000000"/>
          <w:sz w:val="20"/>
        </w:rPr>
        <w:t>La Clínica Bupa tiene interés en avanzar en la gestión hídrica de su recinto y solicitó a WES el desarrollo de un estudio de diagnóstico en Clínica Bupa Antofagasta para el monitoreo en línea de sus redes hídricas.</w:t>
      </w:r>
    </w:p>
    <w:p>
      <w:pPr>
        <w:pStyle w:val="ListBullet"/>
        <w:spacing w:after="120" w:before="0"/>
        <w:jc w:val="both"/>
      </w:pPr>
      <w:r>
        <w:rPr>
          <w:b w:val="0"/>
          <w:color w:val="000000"/>
          <w:sz w:val="20"/>
        </w:rPr>
        <w:t>El objetivo del Estudio es construir una línea de base detallada del consumo hídrico de los distintos sectores de la red del recinto.</w:t>
      </w:r>
    </w:p>
    <w:p>
      <w:pPr>
        <w:pStyle w:val="ListBullet"/>
        <w:spacing w:after="120" w:before="0"/>
        <w:jc w:val="both"/>
      </w:pPr>
      <w:r>
        <w:rPr>
          <w:b w:val="0"/>
          <w:color w:val="000000"/>
          <w:sz w:val="20"/>
        </w:rPr>
        <w:t>El proyecto se extendió entre julio y octubre 2026; por un periodo de 81 días se llevó adelante monitoreo en línea de 4 puntos seleccionados en Clínica Bupa Antofagasta.</w:t>
      </w:r>
    </w:p>
    <w:p>
      <w:pPr>
        <w:spacing w:before="80" w:after="80"/>
      </w:pPr>
      <w:r>
        <w:rPr>
          <w:b/>
          <w:color w:val="003366"/>
          <w:sz w:val="22"/>
        </w:rPr>
        <w:t>a. Hitos y Carta Gantt</w:t>
      </w:r>
    </w:p>
    <w:p>
      <w:pPr>
        <w:spacing w:after="120" w:before="0"/>
        <w:jc w:val="both"/>
      </w:pPr>
      <w:r>
        <w:rPr>
          <w:b w:val="0"/>
          <w:color w:val="000000"/>
          <w:sz w:val="20"/>
        </w:rPr>
        <w:t>Previo a la implementación de los equipos, se ejecutaron hitos preparativos:</w:t>
      </w:r>
    </w:p>
    <w:p>
      <w:pPr>
        <w:pStyle w:val="ListBullet"/>
        <w:spacing w:after="40" w:before="0"/>
        <w:jc w:val="both"/>
      </w:pPr>
      <w:r>
        <w:rPr>
          <w:b w:val="0"/>
          <w:color w:val="000000"/>
          <w:sz w:val="20"/>
        </w:rPr>
        <w:t>Reunión de Kick-off / 3 de junio</w:t>
      </w:r>
    </w:p>
    <w:p>
      <w:pPr>
        <w:pStyle w:val="ListBullet"/>
        <w:spacing w:after="40" w:before="0"/>
        <w:jc w:val="both"/>
      </w:pPr>
      <w:r>
        <w:rPr>
          <w:b w:val="0"/>
          <w:color w:val="000000"/>
          <w:sz w:val="20"/>
        </w:rPr>
        <w:t>Visita de inspección técnica / 24 de junio</w:t>
      </w:r>
    </w:p>
    <w:p>
      <w:pPr>
        <w:pStyle w:val="ListBullet"/>
        <w:spacing w:after="40" w:before="0"/>
        <w:jc w:val="both"/>
      </w:pPr>
      <w:r>
        <w:rPr>
          <w:b w:val="0"/>
          <w:color w:val="000000"/>
          <w:sz w:val="20"/>
        </w:rPr>
        <w:t>Habilitación empalmes eléctricos / junio – julio</w:t>
      </w:r>
    </w:p>
    <w:p>
      <w:pPr>
        <w:pStyle w:val="ListBullet"/>
        <w:spacing w:after="40" w:before="0"/>
        <w:jc w:val="both"/>
      </w:pPr>
      <w:r>
        <w:rPr>
          <w:b w:val="0"/>
          <w:color w:val="000000"/>
          <w:sz w:val="20"/>
        </w:rPr>
        <w:t>Instalación y habilitación equipos WES / 20 y 21 julio</w:t>
      </w:r>
    </w:p>
    <w:p>
      <w:pPr>
        <w:pStyle w:val="ListBullet"/>
        <w:spacing w:after="40" w:before="0"/>
        <w:jc w:val="both"/>
      </w:pPr>
      <w:r>
        <w:rPr>
          <w:b w:val="0"/>
          <w:color w:val="000000"/>
          <w:sz w:val="20"/>
        </w:rPr>
        <w:t>Capacitación equipo BUPA Plataforma WES / 31 julio</w:t>
      </w:r>
    </w:p>
    <w:p>
      <w:pPr>
        <w:spacing w:before="80" w:after="80"/>
      </w:pPr>
      <w:r>
        <w:rPr>
          <w:b/>
          <w:color w:val="003366"/>
          <w:sz w:val="22"/>
        </w:rPr>
        <w:t>Ubicación</w:t>
      </w:r>
    </w:p>
    <w:tbl>
      <w:tblPr>
        <w:tblStyle w:val="TableGrid"/>
        <w:tblW w:type="auto" w:w="0"/>
        <w:jc w:val="center"/>
        <w:tblLook w:firstColumn="1" w:firstRow="1" w:lastColumn="0" w:lastRow="0" w:noHBand="0" w:noVBand="1" w:val="04A0"/>
      </w:tblPr>
      <w:tblGrid>
        <w:gridCol w:w="4896"/>
        <w:gridCol w:w="4896"/>
      </w:tblGrid>
      <w:tr>
        <w:tc>
          <w:tcPr>
            <w:tcW w:type="dxa" w:w="4896"/>
            <w:shd w:fill="003366" w:val="clear"/>
          </w:tcPr>
          <w:p>
            <w:pPr>
              <w:jc w:val="center"/>
            </w:pPr>
            <w:r>
              <w:rPr>
                <w:b/>
                <w:color w:val="FFFFFF"/>
                <w:sz w:val="18"/>
              </w:rPr>
              <w:t>Recinto</w:t>
            </w:r>
          </w:p>
        </w:tc>
        <w:tc>
          <w:tcPr>
            <w:tcW w:type="dxa" w:w="4896"/>
            <w:shd w:fill="003366" w:val="clear"/>
          </w:tcPr>
          <w:p>
            <w:pPr>
              <w:jc w:val="center"/>
            </w:pPr>
            <w:r>
              <w:rPr>
                <w:b/>
                <w:color w:val="FFFFFF"/>
                <w:sz w:val="18"/>
              </w:rPr>
              <w:t>Dirección</w:t>
            </w:r>
          </w:p>
        </w:tc>
      </w:tr>
      <w:tr>
        <w:tc>
          <w:tcPr>
            <w:tcW w:type="dxa" w:w="4896"/>
          </w:tcPr>
          <w:p>
            <w:pPr>
              <w:jc w:val="center"/>
            </w:pPr>
            <w:r/>
            <w:r>
              <w:rPr>
                <w:b w:val="0"/>
                <w:color w:val="000000"/>
                <w:sz w:val="18"/>
              </w:rPr>
              <w:t>Clínica Bupa Antofagasta</w:t>
            </w:r>
          </w:p>
        </w:tc>
        <w:tc>
          <w:tcPr>
            <w:tcW w:type="dxa" w:w="4896"/>
          </w:tcPr>
          <w:p>
            <w:pPr>
              <w:jc w:val="center"/>
            </w:pPr>
            <w:r/>
            <w:r>
              <w:rPr>
                <w:b w:val="0"/>
                <w:color w:val="000000"/>
                <w:sz w:val="18"/>
              </w:rPr>
              <w:t>Manuel Antonio Matta 1945, Antofagasta</w:t>
            </w:r>
          </w:p>
        </w:tc>
      </w:tr>
    </w:tbl>
    <w:p>
      <w:pPr>
        <w:spacing w:after="120"/>
      </w:pPr>
    </w:p>
    <w:p>
      <w:r>
        <w:br w:type="page"/>
      </w:r>
    </w:p>
    <w:p>
      <w:pPr>
        <w:spacing w:before="160" w:after="120"/>
        <w:jc w:val="left"/>
      </w:pPr>
      <w:r>
        <w:rPr>
          <w:b/>
          <w:color w:val="003366"/>
          <w:sz w:val="28"/>
        </w:rPr>
        <w:t>II. Objetivos y resultados esperados</w:t>
      </w:r>
    </w:p>
    <w:p>
      <w:pPr>
        <w:spacing w:after="120" w:before="0"/>
        <w:jc w:val="both"/>
      </w:pPr>
      <w:r>
        <w:rPr>
          <w:b w:val="0"/>
          <w:color w:val="000000"/>
          <w:sz w:val="20"/>
        </w:rPr>
        <w:t>El diagnóstico de gestión hídrica en Clínica Bupa Antofagasta se estructuró sobre tres ejes técnicos centrales:</w:t>
      </w:r>
    </w:p>
    <w:p>
      <w:pPr>
        <w:pStyle w:val="ListBullet"/>
        <w:spacing w:after="120" w:before="0"/>
        <w:jc w:val="both"/>
      </w:pPr>
      <w:r>
        <w:rPr>
          <w:b w:val="0"/>
          <w:color w:val="000000"/>
          <w:sz w:val="20"/>
        </w:rPr>
        <w:t>(A) Línea de base: construir una línea de base hídrica respaldada por datos empíricos de alta frecuencia temporal.</w:t>
      </w:r>
    </w:p>
    <w:p>
      <w:pPr>
        <w:pStyle w:val="ListBullet"/>
        <w:spacing w:after="120" w:before="0"/>
        <w:jc w:val="both"/>
      </w:pPr>
      <w:r>
        <w:rPr>
          <w:b w:val="0"/>
          <w:color w:val="000000"/>
          <w:sz w:val="20"/>
        </w:rPr>
        <w:t>(B) Perfil de consumo: elaborar perfiles diario y semanal (lun–dom) por sector, identificando variaciones en días hábiles e inhábiles.</w:t>
      </w:r>
    </w:p>
    <w:p>
      <w:pPr>
        <w:pStyle w:val="ListBullet"/>
        <w:spacing w:after="120" w:before="0"/>
        <w:jc w:val="both"/>
      </w:pPr>
      <w:r>
        <w:rPr>
          <w:b w:val="0"/>
          <w:color w:val="000000"/>
          <w:sz w:val="20"/>
        </w:rPr>
        <w:t>(C) Detección y cuantificación: identificar ineficiencias, huecos de data y desacoples operacionales en las redes monitoreadas.</w:t>
      </w:r>
    </w:p>
    <w:p>
      <w:pPr>
        <w:spacing w:before="160" w:after="120"/>
        <w:jc w:val="left"/>
      </w:pPr>
      <w:r>
        <w:rPr>
          <w:b/>
          <w:color w:val="003366"/>
          <w:sz w:val="28"/>
        </w:rPr>
        <w:t>III. Definición de sectores a monitorear</w:t>
      </w:r>
    </w:p>
    <w:p>
      <w:pPr>
        <w:spacing w:after="120" w:before="0"/>
        <w:jc w:val="both"/>
      </w:pPr>
      <w:r>
        <w:rPr>
          <w:b w:val="0"/>
          <w:color w:val="000000"/>
          <w:sz w:val="20"/>
        </w:rPr>
        <w:t>Tras visita técnica y reuniones Bupa–WES (junio–julio), y con base en facturación sanitaria y prioridades operacionales, se definieron los siguientes puntos:</w:t>
      </w:r>
    </w:p>
    <w:p>
      <w:pPr>
        <w:pStyle w:val="ListBullet"/>
        <w:spacing w:after="120" w:before="0"/>
        <w:jc w:val="both"/>
      </w:pPr>
      <w:r>
        <w:rPr>
          <w:b w:val="0"/>
          <w:color w:val="000000"/>
          <w:sz w:val="20"/>
        </w:rPr>
        <w:t>1. Medidor Principal Sanitaria: matriz de cobre de 2" a la entrada del recinto. Mide el 100% del volumen de agua potable entregado por Aguas Antofagasta.</w:t>
      </w:r>
    </w:p>
    <w:p>
      <w:pPr>
        <w:pStyle w:val="ListBullet"/>
        <w:spacing w:after="120" w:before="0"/>
        <w:jc w:val="both"/>
      </w:pPr>
      <w:r>
        <w:rPr>
          <w:b w:val="0"/>
          <w:color w:val="000000"/>
          <w:sz w:val="20"/>
        </w:rPr>
        <w:t>2. Sala de Bomba Principal (Primer Piso): impulsión de cobre de 2" en planta baja. Distribuye agua potable a gran parte de la infraestructura y alimenta acumulación hacia Sala de Bomba N°2.</w:t>
      </w:r>
    </w:p>
    <w:p>
      <w:pPr>
        <w:pStyle w:val="ListBullet"/>
        <w:spacing w:after="120" w:before="0"/>
        <w:jc w:val="both"/>
      </w:pPr>
      <w:r>
        <w:rPr>
          <w:b w:val="0"/>
          <w:color w:val="000000"/>
          <w:sz w:val="20"/>
        </w:rPr>
        <w:t>3. Sala de Bomba N°2 (Primer Piso): impulsión en cobre de 2" cuya función de diseño es traspasar agua hacia la sala del sexto piso. En este informe se mantiene como punto instalado, pero se excluye del balance cuantitativo por lecturas inconsistentes desde septiembre.</w:t>
      </w:r>
    </w:p>
    <w:p>
      <w:pPr>
        <w:pStyle w:val="ListBullet"/>
        <w:spacing w:after="120" w:before="0"/>
        <w:jc w:val="both"/>
      </w:pPr>
      <w:r>
        <w:rPr>
          <w:b w:val="0"/>
          <w:color w:val="000000"/>
          <w:sz w:val="20"/>
        </w:rPr>
        <w:t>4. Sala de Bomba Sexto Piso: red de 2" en cobre del sexto nivel; presuriza y abastece el resto del recinto.</w:t>
      </w:r>
    </w:p>
    <w:p>
      <w:r>
        <w:br w:type="page"/>
      </w:r>
    </w:p>
    <w:p>
      <w:pPr>
        <w:spacing w:before="160" w:after="120"/>
        <w:jc w:val="left"/>
      </w:pPr>
      <w:r>
        <w:rPr>
          <w:b/>
          <w:color w:val="003366"/>
          <w:sz w:val="28"/>
        </w:rPr>
        <w:t>IV. Fotografías de instalación</w:t>
      </w:r>
    </w:p>
    <w:p>
      <w:pPr>
        <w:spacing w:after="120" w:before="0"/>
        <w:jc w:val="both"/>
      </w:pPr>
      <w:r>
        <w:rPr>
          <w:b w:val="0"/>
          <w:color w:val="000000"/>
          <w:sz w:val="20"/>
        </w:rPr>
        <w:t>Entre el 20 y 21 de julio se ejecutaron trabajos de instalación de equipos WES de Monitoreo Inteligente. A continuación, fotografías de los puntos instrumentados (fuente: Bupa Antofagasta / Fotografias).</w:t>
      </w:r>
    </w:p>
    <w:tbl>
      <w:tblPr>
        <w:tblW w:type="auto" w:w="0"/>
        <w:jc w:val="center"/>
        <w:tblLook w:firstColumn="1" w:firstRow="1" w:lastColumn="0" w:lastRow="0" w:noHBand="0" w:noVBand="1" w:val="04A0"/>
      </w:tblPr>
      <w:tblGrid>
        <w:gridCol w:w="4896"/>
        <w:gridCol w:w="4896"/>
      </w:tblGrid>
      <w:tr>
        <w:tc>
          <w:tcPr>
            <w:tcW w:type="dxa" w:w="4896"/>
          </w:tcPr>
          <w:p>
            <w:pPr>
              <w:jc w:val="center"/>
            </w:pPr>
            <w:r/>
            <w:r>
              <w:drawing>
                <wp:inline xmlns:a="http://schemas.openxmlformats.org/drawingml/2006/main" xmlns:pic="http://schemas.openxmlformats.org/drawingml/2006/picture">
                  <wp:extent cx="2606040" cy="3474720"/>
                  <wp:docPr id="1" name="Picture 1"/>
                  <wp:cNvGraphicFramePr>
                    <a:graphicFrameLocks noChangeAspect="1"/>
                  </wp:cNvGraphicFramePr>
                  <a:graphic>
                    <a:graphicData uri="http://schemas.openxmlformats.org/drawingml/2006/picture">
                      <pic:pic>
                        <pic:nvPicPr>
                          <pic:cNvPr id="0" name="Matriz Sanitaria.jpeg"/>
                          <pic:cNvPicPr/>
                        </pic:nvPicPr>
                        <pic:blipFill>
                          <a:blip r:embed="rId9"/>
                          <a:stretch>
                            <a:fillRect/>
                          </a:stretch>
                        </pic:blipFill>
                        <pic:spPr>
                          <a:xfrm>
                            <a:off x="0" y="0"/>
                            <a:ext cx="2606040" cy="3474720"/>
                          </a:xfrm>
                          <a:prstGeom prst="rect"/>
                        </pic:spPr>
                      </pic:pic>
                    </a:graphicData>
                  </a:graphic>
                </wp:inline>
              </w:drawing>
            </w:r>
          </w:p>
          <w:p>
            <w:pPr>
              <w:jc w:val="center"/>
            </w:pPr>
            <w:r>
              <w:rPr>
                <w:b w:val="0"/>
                <w:color w:val="505050"/>
                <w:sz w:val="14"/>
              </w:rPr>
              <w:t>Medidor Principal Sanitaria — matriz de entrada</w:t>
            </w:r>
          </w:p>
        </w:tc>
        <w:tc>
          <w:tcPr>
            <w:tcW w:type="dxa" w:w="4896"/>
          </w:tcPr>
          <w:p>
            <w:pPr>
              <w:jc w:val="center"/>
            </w:pPr>
            <w:r/>
            <w:r>
              <w:drawing>
                <wp:inline xmlns:a="http://schemas.openxmlformats.org/drawingml/2006/main" xmlns:pic="http://schemas.openxmlformats.org/drawingml/2006/picture">
                  <wp:extent cx="2606040" cy="3474720"/>
                  <wp:docPr id="2" name="Picture 2"/>
                  <wp:cNvGraphicFramePr>
                    <a:graphicFrameLocks noChangeAspect="1"/>
                  </wp:cNvGraphicFramePr>
                  <a:graphic>
                    <a:graphicData uri="http://schemas.openxmlformats.org/drawingml/2006/picture">
                      <pic:pic>
                        <pic:nvPicPr>
                          <pic:cNvPr id="0" name="Sala de bomba matriz principal.jpeg"/>
                          <pic:cNvPicPr/>
                        </pic:nvPicPr>
                        <pic:blipFill>
                          <a:blip r:embed="rId10"/>
                          <a:stretch>
                            <a:fillRect/>
                          </a:stretch>
                        </pic:blipFill>
                        <pic:spPr>
                          <a:xfrm>
                            <a:off x="0" y="0"/>
                            <a:ext cx="2606040" cy="3474720"/>
                          </a:xfrm>
                          <a:prstGeom prst="rect"/>
                        </pic:spPr>
                      </pic:pic>
                    </a:graphicData>
                  </a:graphic>
                </wp:inline>
              </w:drawing>
            </w:r>
          </w:p>
          <w:p>
            <w:pPr>
              <w:jc w:val="center"/>
            </w:pPr>
            <w:r>
              <w:rPr>
                <w:b w:val="0"/>
                <w:color w:val="505050"/>
                <w:sz w:val="14"/>
              </w:rPr>
              <w:t>Sala de Bomba Principal (1er piso)</w:t>
            </w:r>
          </w:p>
        </w:tc>
      </w:tr>
      <w:tr>
        <w:tc>
          <w:tcPr>
            <w:tcW w:type="dxa" w:w="4896"/>
          </w:tcPr>
          <w:p>
            <w:pPr>
              <w:jc w:val="center"/>
            </w:pPr>
            <w:r/>
            <w:r>
              <w:drawing>
                <wp:inline xmlns:a="http://schemas.openxmlformats.org/drawingml/2006/main" xmlns:pic="http://schemas.openxmlformats.org/drawingml/2006/picture">
                  <wp:extent cx="2606040" cy="3474720"/>
                  <wp:docPr id="3" name="Picture 3"/>
                  <wp:cNvGraphicFramePr>
                    <a:graphicFrameLocks noChangeAspect="1"/>
                  </wp:cNvGraphicFramePr>
                  <a:graphic>
                    <a:graphicData uri="http://schemas.openxmlformats.org/drawingml/2006/picture">
                      <pic:pic>
                        <pic:nvPicPr>
                          <pic:cNvPr id="0" name="Sala de bomna N°2.jpeg"/>
                          <pic:cNvPicPr/>
                        </pic:nvPicPr>
                        <pic:blipFill>
                          <a:blip r:embed="rId11"/>
                          <a:stretch>
                            <a:fillRect/>
                          </a:stretch>
                        </pic:blipFill>
                        <pic:spPr>
                          <a:xfrm>
                            <a:off x="0" y="0"/>
                            <a:ext cx="2606040" cy="3474720"/>
                          </a:xfrm>
                          <a:prstGeom prst="rect"/>
                        </pic:spPr>
                      </pic:pic>
                    </a:graphicData>
                  </a:graphic>
                </wp:inline>
              </w:drawing>
            </w:r>
          </w:p>
          <w:p>
            <w:pPr>
              <w:jc w:val="center"/>
            </w:pPr>
            <w:r>
              <w:rPr>
                <w:b w:val="0"/>
                <w:color w:val="505050"/>
                <w:sz w:val="14"/>
              </w:rPr>
              <w:t>Sala de Bomba N°2 (1er piso)</w:t>
            </w:r>
          </w:p>
        </w:tc>
        <w:tc>
          <w:tcPr>
            <w:tcW w:type="dxa" w:w="4896"/>
          </w:tcPr>
          <w:p>
            <w:pPr>
              <w:jc w:val="center"/>
            </w:pPr>
            <w:r/>
            <w:r>
              <w:drawing>
                <wp:inline xmlns:a="http://schemas.openxmlformats.org/drawingml/2006/main" xmlns:pic="http://schemas.openxmlformats.org/drawingml/2006/picture">
                  <wp:extent cx="2606040" cy="3474720"/>
                  <wp:docPr id="4" name="Picture 4"/>
                  <wp:cNvGraphicFramePr>
                    <a:graphicFrameLocks noChangeAspect="1"/>
                  </wp:cNvGraphicFramePr>
                  <a:graphic>
                    <a:graphicData uri="http://schemas.openxmlformats.org/drawingml/2006/picture">
                      <pic:pic>
                        <pic:nvPicPr>
                          <pic:cNvPr id="0" name="Sala de bomba Sexto Piso.jpeg"/>
                          <pic:cNvPicPr/>
                        </pic:nvPicPr>
                        <pic:blipFill>
                          <a:blip r:embed="rId12"/>
                          <a:stretch>
                            <a:fillRect/>
                          </a:stretch>
                        </pic:blipFill>
                        <pic:spPr>
                          <a:xfrm>
                            <a:off x="0" y="0"/>
                            <a:ext cx="2606040" cy="3474720"/>
                          </a:xfrm>
                          <a:prstGeom prst="rect"/>
                        </pic:spPr>
                      </pic:pic>
                    </a:graphicData>
                  </a:graphic>
                </wp:inline>
              </w:drawing>
            </w:r>
          </w:p>
          <w:p>
            <w:pPr>
              <w:jc w:val="center"/>
            </w:pPr>
            <w:r>
              <w:rPr>
                <w:b w:val="0"/>
                <w:color w:val="505050"/>
                <w:sz w:val="14"/>
              </w:rPr>
              <w:t>Sala de Bomba Sexto Piso</w:t>
            </w:r>
          </w:p>
        </w:tc>
      </w:tr>
    </w:tbl>
    <w:p>
      <w:pPr>
        <w:spacing w:after="80"/>
      </w:pPr>
    </w:p>
    <w:p>
      <w:pPr>
        <w:spacing w:after="120" w:before="0"/>
        <w:jc w:val="both"/>
      </w:pPr>
      <w:r>
        <w:rPr>
          <w:b w:val="0"/>
          <w:color w:val="000000"/>
          <w:sz w:val="18"/>
        </w:rPr>
        <w:t>Usuarios BUPA habilitados en plataforma WES App: Catherine Velásquez (Supervisora de Proyectos e Infraestructura), Joel Cartes (Jefe de Proyecto e Infraestructura) y Jonathan Chaparro (Subgerente de Operaciones).</w:t>
      </w:r>
    </w:p>
    <w:p>
      <w:r>
        <w:br w:type="page"/>
      </w:r>
    </w:p>
    <w:p>
      <w:pPr>
        <w:spacing w:before="160" w:after="120"/>
        <w:jc w:val="left"/>
      </w:pPr>
      <w:r>
        <w:rPr>
          <w:b/>
          <w:color w:val="003366"/>
          <w:sz w:val="28"/>
        </w:rPr>
        <w:t>V. Análisis de sectores monitoreados</w:t>
      </w:r>
    </w:p>
    <w:p>
      <w:pPr>
        <w:spacing w:after="120" w:before="0"/>
        <w:jc w:val="both"/>
      </w:pPr>
      <w:r>
        <w:rPr>
          <w:b w:val="0"/>
          <w:color w:val="000000"/>
          <w:sz w:val="20"/>
        </w:rPr>
        <w:t>Consumos en m³ según data WES del periodo 23/07/2026 al 11/10/2026. Gráficos propios (sin pantallazos de la aplicación).</w:t>
      </w:r>
    </w:p>
    <w:p>
      <w:pPr>
        <w:spacing w:before="80" w:after="80"/>
      </w:pPr>
      <w:r>
        <w:rPr>
          <w:b/>
          <w:color w:val="003366"/>
          <w:sz w:val="22"/>
        </w:rPr>
        <w:t>1) Medidor Principal Sanitaria</w:t>
      </w:r>
    </w:p>
    <w:tbl>
      <w:tblPr>
        <w:tblStyle w:val="TableGrid"/>
        <w:tblW w:type="auto" w:w="0"/>
        <w:jc w:val="center"/>
        <w:tblLook w:firstColumn="1" w:firstRow="1" w:lastColumn="0" w:lastRow="0" w:noHBand="0" w:noVBand="1" w:val="04A0"/>
      </w:tblPr>
      <w:tblGrid>
        <w:gridCol w:w="4896"/>
        <w:gridCol w:w="4896"/>
      </w:tblGrid>
      <w:tr>
        <w:tc>
          <w:tcPr>
            <w:tcW w:type="dxa" w:w="4896"/>
            <w:shd w:fill="003366" w:val="clear"/>
          </w:tcPr>
          <w:p>
            <w:pPr>
              <w:jc w:val="center"/>
            </w:pPr>
            <w:r>
              <w:rPr>
                <w:b/>
                <w:color w:val="FFFFFF"/>
                <w:sz w:val="18"/>
              </w:rPr>
              <w:t>Indicador</w:t>
            </w:r>
          </w:p>
        </w:tc>
        <w:tc>
          <w:tcPr>
            <w:tcW w:type="dxa" w:w="4896"/>
            <w:shd w:fill="003366" w:val="clear"/>
          </w:tcPr>
          <w:p>
            <w:pPr>
              <w:jc w:val="center"/>
            </w:pPr>
            <w:r>
              <w:rPr>
                <w:b/>
                <w:color w:val="FFFFFF"/>
                <w:sz w:val="18"/>
              </w:rPr>
              <w:t>Valor</w:t>
            </w:r>
          </w:p>
        </w:tc>
      </w:tr>
      <w:tr>
        <w:tc>
          <w:tcPr>
            <w:tcW w:type="dxa" w:w="4896"/>
          </w:tcPr>
          <w:p>
            <w:pPr>
              <w:jc w:val="center"/>
            </w:pPr>
            <w:r/>
            <w:r>
              <w:rPr>
                <w:b w:val="0"/>
                <w:color w:val="000000"/>
                <w:sz w:val="18"/>
              </w:rPr>
              <w:t>Total (m³)</w:t>
            </w:r>
          </w:p>
        </w:tc>
        <w:tc>
          <w:tcPr>
            <w:tcW w:type="dxa" w:w="4896"/>
          </w:tcPr>
          <w:p>
            <w:pPr>
              <w:jc w:val="center"/>
            </w:pPr>
            <w:r/>
            <w:r>
              <w:rPr>
                <w:b w:val="0"/>
                <w:color w:val="000000"/>
                <w:sz w:val="18"/>
              </w:rPr>
              <w:t>6.772,3</w:t>
            </w:r>
          </w:p>
        </w:tc>
      </w:tr>
      <w:tr>
        <w:tc>
          <w:tcPr>
            <w:tcW w:type="dxa" w:w="4896"/>
          </w:tcPr>
          <w:p>
            <w:pPr>
              <w:jc w:val="center"/>
            </w:pPr>
            <w:r/>
            <w:r>
              <w:rPr>
                <w:b w:val="0"/>
                <w:color w:val="000000"/>
                <w:sz w:val="18"/>
              </w:rPr>
              <w:t>Promedio diario (m³)</w:t>
            </w:r>
          </w:p>
        </w:tc>
        <w:tc>
          <w:tcPr>
            <w:tcW w:type="dxa" w:w="4896"/>
          </w:tcPr>
          <w:p>
            <w:pPr>
              <w:jc w:val="center"/>
            </w:pPr>
            <w:r/>
            <w:r>
              <w:rPr>
                <w:b w:val="0"/>
                <w:color w:val="000000"/>
                <w:sz w:val="18"/>
              </w:rPr>
              <w:t>83,6</w:t>
            </w:r>
          </w:p>
        </w:tc>
      </w:tr>
      <w:tr>
        <w:tc>
          <w:tcPr>
            <w:tcW w:type="dxa" w:w="4896"/>
          </w:tcPr>
          <w:p>
            <w:pPr>
              <w:jc w:val="center"/>
            </w:pPr>
            <w:r/>
            <w:r>
              <w:rPr>
                <w:b w:val="0"/>
                <w:color w:val="000000"/>
                <w:sz w:val="18"/>
              </w:rPr>
              <w:t>Días con data</w:t>
            </w:r>
          </w:p>
        </w:tc>
        <w:tc>
          <w:tcPr>
            <w:tcW w:type="dxa" w:w="4896"/>
          </w:tcPr>
          <w:p>
            <w:pPr>
              <w:jc w:val="center"/>
            </w:pPr>
            <w:r/>
            <w:r>
              <w:rPr>
                <w:b w:val="0"/>
                <w:color w:val="000000"/>
                <w:sz w:val="18"/>
              </w:rPr>
              <w:t>81 / 81</w:t>
            </w:r>
          </w:p>
        </w:tc>
      </w:tr>
      <w:tr>
        <w:tc>
          <w:tcPr>
            <w:tcW w:type="dxa" w:w="4896"/>
          </w:tcPr>
          <w:p>
            <w:pPr>
              <w:jc w:val="center"/>
            </w:pPr>
            <w:r/>
            <w:r>
              <w:rPr>
                <w:b w:val="0"/>
                <w:color w:val="000000"/>
                <w:sz w:val="18"/>
              </w:rPr>
              <w:t>Rango min – max diario (m³)</w:t>
            </w:r>
          </w:p>
        </w:tc>
        <w:tc>
          <w:tcPr>
            <w:tcW w:type="dxa" w:w="4896"/>
          </w:tcPr>
          <w:p>
            <w:pPr>
              <w:jc w:val="center"/>
            </w:pPr>
            <w:r/>
            <w:r>
              <w:rPr>
                <w:b w:val="0"/>
                <w:color w:val="000000"/>
                <w:sz w:val="18"/>
              </w:rPr>
              <w:t>16,4 – 265,9 (29/09/2026 / 24/07/2026)</w:t>
            </w:r>
          </w:p>
        </w:tc>
      </w:tr>
      <w:tr>
        <w:tc>
          <w:tcPr>
            <w:tcW w:type="dxa" w:w="4896"/>
          </w:tcPr>
          <w:p>
            <w:pPr>
              <w:jc w:val="center"/>
            </w:pPr>
            <w:r/>
            <w:r>
              <w:rPr>
                <w:b w:val="0"/>
                <w:color w:val="000000"/>
                <w:sz w:val="18"/>
              </w:rPr>
              <w:t>% sobre Sanitaria</w:t>
            </w:r>
          </w:p>
        </w:tc>
        <w:tc>
          <w:tcPr>
            <w:tcW w:type="dxa" w:w="4896"/>
          </w:tcPr>
          <w:p>
            <w:pPr>
              <w:jc w:val="center"/>
            </w:pPr>
            <w:r/>
            <w:r>
              <w:rPr>
                <w:b w:val="0"/>
                <w:color w:val="000000"/>
                <w:sz w:val="18"/>
              </w:rPr>
              <w:t>100,0%</w:t>
            </w:r>
          </w:p>
        </w:tc>
      </w:tr>
    </w:tbl>
    <w:p>
      <w:pPr>
        <w:spacing w:after="120"/>
      </w:pPr>
    </w:p>
    <w:p>
      <w:pPr>
        <w:spacing w:after="40"/>
        <w:jc w:val="center"/>
      </w:pPr>
      <w:r>
        <w:drawing>
          <wp:inline xmlns:a="http://schemas.openxmlformats.org/drawingml/2006/main" xmlns:pic="http://schemas.openxmlformats.org/drawingml/2006/picture">
            <wp:extent cx="5486400" cy="1607405"/>
            <wp:docPr id="5" name="Picture 5"/>
            <wp:cNvGraphicFramePr>
              <a:graphicFrameLocks noChangeAspect="1"/>
            </wp:cNvGraphicFramePr>
            <a:graphic>
              <a:graphicData uri="http://schemas.openxmlformats.org/drawingml/2006/picture">
                <pic:pic>
                  <pic:nvPicPr>
                    <pic:cNvPr id="0" name="chart_diario_sanitaria.png"/>
                    <pic:cNvPicPr/>
                  </pic:nvPicPr>
                  <pic:blipFill>
                    <a:blip r:embed="rId13"/>
                    <a:stretch>
                      <a:fillRect/>
                    </a:stretch>
                  </pic:blipFill>
                  <pic:spPr>
                    <a:xfrm>
                      <a:off x="0" y="0"/>
                      <a:ext cx="5486400" cy="1607405"/>
                    </a:xfrm>
                    <a:prstGeom prst="rect"/>
                  </pic:spPr>
                </pic:pic>
              </a:graphicData>
            </a:graphic>
          </wp:inline>
        </w:drawing>
      </w:r>
    </w:p>
    <w:p>
      <w:pPr>
        <w:spacing w:after="160"/>
        <w:jc w:val="center"/>
      </w:pPr>
      <w:r>
        <w:rPr>
          <w:b w:val="0"/>
          <w:color w:val="505050"/>
          <w:sz w:val="16"/>
        </w:rPr>
        <w:t>Perfil de consumo diario (m³) — Medidor Sanitaria · Fuente: WES</w:t>
      </w:r>
    </w:p>
    <w:p>
      <w:pPr>
        <w:pStyle w:val="ListBullet"/>
        <w:spacing w:after="120" w:before="0"/>
        <w:jc w:val="both"/>
      </w:pPr>
      <w:r>
        <w:rPr>
          <w:b w:val="0"/>
          <w:color w:val="000000"/>
          <w:sz w:val="20"/>
          <w:highlight w:val="yellow"/>
        </w:rPr>
        <w:t>Patrón con picos hasta 265,9 m³/día y mínimos del orden de 16,4 m³/día. El promedio del periodo es 83,6 m³/día.</w:t>
      </w:r>
    </w:p>
    <w:p>
      <w:pPr>
        <w:spacing w:after="40"/>
        <w:jc w:val="center"/>
      </w:pPr>
      <w:r>
        <w:drawing>
          <wp:inline xmlns:a="http://schemas.openxmlformats.org/drawingml/2006/main" xmlns:pic="http://schemas.openxmlformats.org/drawingml/2006/picture">
            <wp:extent cx="5303520" cy="1467592"/>
            <wp:docPr id="6" name="Picture 6"/>
            <wp:cNvGraphicFramePr>
              <a:graphicFrameLocks noChangeAspect="1"/>
            </wp:cNvGraphicFramePr>
            <a:graphic>
              <a:graphicData uri="http://schemas.openxmlformats.org/drawingml/2006/picture">
                <pic:pic>
                  <pic:nvPicPr>
                    <pic:cNvPr id="0" name="chart_dow_sanitaria.png"/>
                    <pic:cNvPicPr/>
                  </pic:nvPicPr>
                  <pic:blipFill>
                    <a:blip r:embed="rId14"/>
                    <a:stretch>
                      <a:fillRect/>
                    </a:stretch>
                  </pic:blipFill>
                  <pic:spPr>
                    <a:xfrm>
                      <a:off x="0" y="0"/>
                      <a:ext cx="5303520" cy="1467592"/>
                    </a:xfrm>
                    <a:prstGeom prst="rect"/>
                  </pic:spPr>
                </pic:pic>
              </a:graphicData>
            </a:graphic>
          </wp:inline>
        </w:drawing>
      </w:r>
    </w:p>
    <w:p>
      <w:pPr>
        <w:spacing w:after="160"/>
        <w:jc w:val="center"/>
      </w:pPr>
      <w:r>
        <w:rPr>
          <w:b w:val="0"/>
          <w:color w:val="505050"/>
          <w:sz w:val="16"/>
        </w:rPr>
        <w:t>Promedio lun–dom (m³) — Medidor Sanitaria · Fuente: WES</w:t>
      </w:r>
    </w:p>
    <w:p>
      <w:pPr>
        <w:pStyle w:val="ListBullet"/>
        <w:spacing w:after="120" w:before="0"/>
        <w:jc w:val="both"/>
      </w:pPr>
      <w:r>
        <w:rPr>
          <w:b w:val="0"/>
          <w:color w:val="000000"/>
          <w:sz w:val="20"/>
          <w:highlight w:val="yellow"/>
        </w:rPr>
        <w:t>En el promedio lun–dom se observa menor consumo relativo en fin de semana, consistente con menor afluencia de público y de servicios.</w:t>
      </w:r>
    </w:p>
    <w:p>
      <w:r>
        <w:br w:type="page"/>
      </w:r>
    </w:p>
    <w:p>
      <w:pPr>
        <w:spacing w:before="80" w:after="80"/>
      </w:pPr>
      <w:r>
        <w:rPr>
          <w:b/>
          <w:color w:val="003366"/>
          <w:sz w:val="22"/>
        </w:rPr>
        <w:t>2) Sala de Bomba Principal (Primer Piso)</w:t>
      </w:r>
    </w:p>
    <w:tbl>
      <w:tblPr>
        <w:tblStyle w:val="TableGrid"/>
        <w:tblW w:type="auto" w:w="0"/>
        <w:jc w:val="center"/>
        <w:tblLook w:firstColumn="1" w:firstRow="1" w:lastColumn="0" w:lastRow="0" w:noHBand="0" w:noVBand="1" w:val="04A0"/>
      </w:tblPr>
      <w:tblGrid>
        <w:gridCol w:w="4896"/>
        <w:gridCol w:w="4896"/>
      </w:tblGrid>
      <w:tr>
        <w:tc>
          <w:tcPr>
            <w:tcW w:type="dxa" w:w="4896"/>
            <w:shd w:fill="003366" w:val="clear"/>
          </w:tcPr>
          <w:p>
            <w:pPr>
              <w:jc w:val="center"/>
            </w:pPr>
            <w:r>
              <w:rPr>
                <w:b/>
                <w:color w:val="FFFFFF"/>
                <w:sz w:val="18"/>
              </w:rPr>
              <w:t>Indicador</w:t>
            </w:r>
          </w:p>
        </w:tc>
        <w:tc>
          <w:tcPr>
            <w:tcW w:type="dxa" w:w="4896"/>
            <w:shd w:fill="003366" w:val="clear"/>
          </w:tcPr>
          <w:p>
            <w:pPr>
              <w:jc w:val="center"/>
            </w:pPr>
            <w:r>
              <w:rPr>
                <w:b/>
                <w:color w:val="FFFFFF"/>
                <w:sz w:val="18"/>
              </w:rPr>
              <w:t>Valor</w:t>
            </w:r>
          </w:p>
        </w:tc>
      </w:tr>
      <w:tr>
        <w:tc>
          <w:tcPr>
            <w:tcW w:type="dxa" w:w="4896"/>
          </w:tcPr>
          <w:p>
            <w:pPr>
              <w:jc w:val="center"/>
            </w:pPr>
            <w:r/>
            <w:r>
              <w:rPr>
                <w:b w:val="0"/>
                <w:color w:val="000000"/>
                <w:sz w:val="18"/>
              </w:rPr>
              <w:t>Total (m³)</w:t>
            </w:r>
          </w:p>
        </w:tc>
        <w:tc>
          <w:tcPr>
            <w:tcW w:type="dxa" w:w="4896"/>
          </w:tcPr>
          <w:p>
            <w:pPr>
              <w:jc w:val="center"/>
            </w:pPr>
            <w:r/>
            <w:r>
              <w:rPr>
                <w:b w:val="0"/>
                <w:color w:val="000000"/>
                <w:sz w:val="18"/>
              </w:rPr>
              <w:t>3.021,9</w:t>
            </w:r>
          </w:p>
        </w:tc>
      </w:tr>
      <w:tr>
        <w:tc>
          <w:tcPr>
            <w:tcW w:type="dxa" w:w="4896"/>
          </w:tcPr>
          <w:p>
            <w:pPr>
              <w:jc w:val="center"/>
            </w:pPr>
            <w:r/>
            <w:r>
              <w:rPr>
                <w:b w:val="0"/>
                <w:color w:val="000000"/>
                <w:sz w:val="18"/>
              </w:rPr>
              <w:t>Promedio diario (m³)</w:t>
            </w:r>
          </w:p>
        </w:tc>
        <w:tc>
          <w:tcPr>
            <w:tcW w:type="dxa" w:w="4896"/>
          </w:tcPr>
          <w:p>
            <w:pPr>
              <w:jc w:val="center"/>
            </w:pPr>
            <w:r/>
            <w:r>
              <w:rPr>
                <w:b w:val="0"/>
                <w:color w:val="000000"/>
                <w:sz w:val="18"/>
              </w:rPr>
              <w:t>37,3</w:t>
            </w:r>
          </w:p>
        </w:tc>
      </w:tr>
      <w:tr>
        <w:tc>
          <w:tcPr>
            <w:tcW w:type="dxa" w:w="4896"/>
          </w:tcPr>
          <w:p>
            <w:pPr>
              <w:jc w:val="center"/>
            </w:pPr>
            <w:r/>
            <w:r>
              <w:rPr>
                <w:b w:val="0"/>
                <w:color w:val="000000"/>
                <w:sz w:val="18"/>
              </w:rPr>
              <w:t>Días con data</w:t>
            </w:r>
          </w:p>
        </w:tc>
        <w:tc>
          <w:tcPr>
            <w:tcW w:type="dxa" w:w="4896"/>
          </w:tcPr>
          <w:p>
            <w:pPr>
              <w:jc w:val="center"/>
            </w:pPr>
            <w:r/>
            <w:r>
              <w:rPr>
                <w:b w:val="0"/>
                <w:color w:val="000000"/>
                <w:sz w:val="18"/>
              </w:rPr>
              <w:t>81 / 81</w:t>
            </w:r>
          </w:p>
        </w:tc>
      </w:tr>
      <w:tr>
        <w:tc>
          <w:tcPr>
            <w:tcW w:type="dxa" w:w="4896"/>
          </w:tcPr>
          <w:p>
            <w:pPr>
              <w:jc w:val="center"/>
            </w:pPr>
            <w:r/>
            <w:r>
              <w:rPr>
                <w:b w:val="0"/>
                <w:color w:val="000000"/>
                <w:sz w:val="18"/>
              </w:rPr>
              <w:t>Rango min – max diario (m³)</w:t>
            </w:r>
          </w:p>
        </w:tc>
        <w:tc>
          <w:tcPr>
            <w:tcW w:type="dxa" w:w="4896"/>
          </w:tcPr>
          <w:p>
            <w:pPr>
              <w:jc w:val="center"/>
            </w:pPr>
            <w:r/>
            <w:r>
              <w:rPr>
                <w:b w:val="0"/>
                <w:color w:val="000000"/>
                <w:sz w:val="18"/>
              </w:rPr>
              <w:t>1,8 – 68 (27/09/2026 / 04/08/2026)</w:t>
            </w:r>
          </w:p>
        </w:tc>
      </w:tr>
      <w:tr>
        <w:tc>
          <w:tcPr>
            <w:tcW w:type="dxa" w:w="4896"/>
          </w:tcPr>
          <w:p>
            <w:pPr>
              <w:jc w:val="center"/>
            </w:pPr>
            <w:r/>
            <w:r>
              <w:rPr>
                <w:b w:val="0"/>
                <w:color w:val="000000"/>
                <w:sz w:val="18"/>
              </w:rPr>
              <w:t>% sobre Sanitaria</w:t>
            </w:r>
          </w:p>
        </w:tc>
        <w:tc>
          <w:tcPr>
            <w:tcW w:type="dxa" w:w="4896"/>
          </w:tcPr>
          <w:p>
            <w:pPr>
              <w:jc w:val="center"/>
            </w:pPr>
            <w:r/>
            <w:r>
              <w:rPr>
                <w:b w:val="0"/>
                <w:color w:val="000000"/>
                <w:sz w:val="18"/>
              </w:rPr>
              <w:t>44,6%</w:t>
            </w:r>
          </w:p>
        </w:tc>
      </w:tr>
    </w:tbl>
    <w:p>
      <w:pPr>
        <w:spacing w:after="120"/>
      </w:pPr>
    </w:p>
    <w:p>
      <w:pPr>
        <w:spacing w:after="40"/>
        <w:jc w:val="center"/>
      </w:pPr>
      <w:r>
        <w:drawing>
          <wp:inline xmlns:a="http://schemas.openxmlformats.org/drawingml/2006/main" xmlns:pic="http://schemas.openxmlformats.org/drawingml/2006/picture">
            <wp:extent cx="5486400" cy="1607405"/>
            <wp:docPr id="7" name="Picture 7"/>
            <wp:cNvGraphicFramePr>
              <a:graphicFrameLocks noChangeAspect="1"/>
            </wp:cNvGraphicFramePr>
            <a:graphic>
              <a:graphicData uri="http://schemas.openxmlformats.org/drawingml/2006/picture">
                <pic:pic>
                  <pic:nvPicPr>
                    <pic:cNvPr id="0" name="chart_diario_bomba_principal.png"/>
                    <pic:cNvPicPr/>
                  </pic:nvPicPr>
                  <pic:blipFill>
                    <a:blip r:embed="rId15"/>
                    <a:stretch>
                      <a:fillRect/>
                    </a:stretch>
                  </pic:blipFill>
                  <pic:spPr>
                    <a:xfrm>
                      <a:off x="0" y="0"/>
                      <a:ext cx="5486400" cy="1607405"/>
                    </a:xfrm>
                    <a:prstGeom prst="rect"/>
                  </pic:spPr>
                </pic:pic>
              </a:graphicData>
            </a:graphic>
          </wp:inline>
        </w:drawing>
      </w:r>
    </w:p>
    <w:p>
      <w:pPr>
        <w:spacing w:after="160"/>
        <w:jc w:val="center"/>
      </w:pPr>
      <w:r>
        <w:rPr>
          <w:b w:val="0"/>
          <w:color w:val="505050"/>
          <w:sz w:val="16"/>
        </w:rPr>
        <w:t>Perfil de consumo diario (m³) — Bomba Principal · Fuente: WES</w:t>
      </w:r>
    </w:p>
    <w:p>
      <w:pPr>
        <w:spacing w:after="40"/>
        <w:jc w:val="center"/>
      </w:pPr>
      <w:r>
        <w:drawing>
          <wp:inline xmlns:a="http://schemas.openxmlformats.org/drawingml/2006/main" xmlns:pic="http://schemas.openxmlformats.org/drawingml/2006/picture">
            <wp:extent cx="5303520" cy="1467592"/>
            <wp:docPr id="8" name="Picture 8"/>
            <wp:cNvGraphicFramePr>
              <a:graphicFrameLocks noChangeAspect="1"/>
            </wp:cNvGraphicFramePr>
            <a:graphic>
              <a:graphicData uri="http://schemas.openxmlformats.org/drawingml/2006/picture">
                <pic:pic>
                  <pic:nvPicPr>
                    <pic:cNvPr id="0" name="chart_dow_bomba_principal.png"/>
                    <pic:cNvPicPr/>
                  </pic:nvPicPr>
                  <pic:blipFill>
                    <a:blip r:embed="rId16"/>
                    <a:stretch>
                      <a:fillRect/>
                    </a:stretch>
                  </pic:blipFill>
                  <pic:spPr>
                    <a:xfrm>
                      <a:off x="0" y="0"/>
                      <a:ext cx="5303520" cy="1467592"/>
                    </a:xfrm>
                    <a:prstGeom prst="rect"/>
                  </pic:spPr>
                </pic:pic>
              </a:graphicData>
            </a:graphic>
          </wp:inline>
        </w:drawing>
      </w:r>
    </w:p>
    <w:p>
      <w:pPr>
        <w:spacing w:after="160"/>
        <w:jc w:val="center"/>
      </w:pPr>
      <w:r>
        <w:rPr>
          <w:b w:val="0"/>
          <w:color w:val="505050"/>
          <w:sz w:val="16"/>
        </w:rPr>
        <w:t>Promedio lun–dom (m³) — Bomba Principal · Fuente: WES</w:t>
      </w:r>
    </w:p>
    <w:p>
      <w:r>
        <w:br w:type="page"/>
      </w:r>
    </w:p>
    <w:p>
      <w:pPr>
        <w:spacing w:before="80" w:after="80"/>
      </w:pPr>
      <w:r>
        <w:rPr>
          <w:b/>
          <w:color w:val="003366"/>
          <w:sz w:val="22"/>
        </w:rPr>
        <w:t>3) Sala de Bomba Sexto Piso</w:t>
      </w:r>
    </w:p>
    <w:tbl>
      <w:tblPr>
        <w:tblStyle w:val="TableGrid"/>
        <w:tblW w:type="auto" w:w="0"/>
        <w:jc w:val="center"/>
        <w:tblLook w:firstColumn="1" w:firstRow="1" w:lastColumn="0" w:lastRow="0" w:noHBand="0" w:noVBand="1" w:val="04A0"/>
      </w:tblPr>
      <w:tblGrid>
        <w:gridCol w:w="4896"/>
        <w:gridCol w:w="4896"/>
      </w:tblGrid>
      <w:tr>
        <w:tc>
          <w:tcPr>
            <w:tcW w:type="dxa" w:w="4896"/>
            <w:shd w:fill="003366" w:val="clear"/>
          </w:tcPr>
          <w:p>
            <w:pPr>
              <w:jc w:val="center"/>
            </w:pPr>
            <w:r>
              <w:rPr>
                <w:b/>
                <w:color w:val="FFFFFF"/>
                <w:sz w:val="18"/>
              </w:rPr>
              <w:t>Indicador</w:t>
            </w:r>
          </w:p>
        </w:tc>
        <w:tc>
          <w:tcPr>
            <w:tcW w:type="dxa" w:w="4896"/>
            <w:shd w:fill="003366" w:val="clear"/>
          </w:tcPr>
          <w:p>
            <w:pPr>
              <w:jc w:val="center"/>
            </w:pPr>
            <w:r>
              <w:rPr>
                <w:b/>
                <w:color w:val="FFFFFF"/>
                <w:sz w:val="18"/>
              </w:rPr>
              <w:t>Valor</w:t>
            </w:r>
          </w:p>
        </w:tc>
      </w:tr>
      <w:tr>
        <w:tc>
          <w:tcPr>
            <w:tcW w:type="dxa" w:w="4896"/>
          </w:tcPr>
          <w:p>
            <w:pPr>
              <w:jc w:val="center"/>
            </w:pPr>
            <w:r/>
            <w:r>
              <w:rPr>
                <w:b w:val="0"/>
                <w:color w:val="000000"/>
                <w:sz w:val="18"/>
              </w:rPr>
              <w:t>Total (m³)</w:t>
            </w:r>
          </w:p>
        </w:tc>
        <w:tc>
          <w:tcPr>
            <w:tcW w:type="dxa" w:w="4896"/>
          </w:tcPr>
          <w:p>
            <w:pPr>
              <w:jc w:val="center"/>
            </w:pPr>
            <w:r/>
            <w:r>
              <w:rPr>
                <w:b w:val="0"/>
                <w:color w:val="000000"/>
                <w:sz w:val="18"/>
              </w:rPr>
              <w:t>395,7</w:t>
            </w:r>
          </w:p>
        </w:tc>
      </w:tr>
      <w:tr>
        <w:tc>
          <w:tcPr>
            <w:tcW w:type="dxa" w:w="4896"/>
          </w:tcPr>
          <w:p>
            <w:pPr>
              <w:jc w:val="center"/>
            </w:pPr>
            <w:r/>
            <w:r>
              <w:rPr>
                <w:b w:val="0"/>
                <w:color w:val="000000"/>
                <w:sz w:val="18"/>
              </w:rPr>
              <w:t>Promedio diario (m³)</w:t>
            </w:r>
          </w:p>
        </w:tc>
        <w:tc>
          <w:tcPr>
            <w:tcW w:type="dxa" w:w="4896"/>
          </w:tcPr>
          <w:p>
            <w:pPr>
              <w:jc w:val="center"/>
            </w:pPr>
            <w:r/>
            <w:r>
              <w:rPr>
                <w:b w:val="0"/>
                <w:color w:val="000000"/>
                <w:sz w:val="18"/>
              </w:rPr>
              <w:t>5,1</w:t>
            </w:r>
          </w:p>
        </w:tc>
      </w:tr>
      <w:tr>
        <w:tc>
          <w:tcPr>
            <w:tcW w:type="dxa" w:w="4896"/>
          </w:tcPr>
          <w:p>
            <w:pPr>
              <w:jc w:val="center"/>
            </w:pPr>
            <w:r/>
            <w:r>
              <w:rPr>
                <w:b w:val="0"/>
                <w:color w:val="000000"/>
                <w:sz w:val="18"/>
              </w:rPr>
              <w:t>Días con data</w:t>
            </w:r>
          </w:p>
        </w:tc>
        <w:tc>
          <w:tcPr>
            <w:tcW w:type="dxa" w:w="4896"/>
          </w:tcPr>
          <w:p>
            <w:pPr>
              <w:jc w:val="center"/>
            </w:pPr>
            <w:r/>
            <w:r>
              <w:rPr>
                <w:b w:val="0"/>
                <w:color w:val="000000"/>
                <w:sz w:val="18"/>
              </w:rPr>
              <w:t>77 / 81</w:t>
            </w:r>
          </w:p>
        </w:tc>
      </w:tr>
      <w:tr>
        <w:tc>
          <w:tcPr>
            <w:tcW w:type="dxa" w:w="4896"/>
          </w:tcPr>
          <w:p>
            <w:pPr>
              <w:jc w:val="center"/>
            </w:pPr>
            <w:r/>
            <w:r>
              <w:rPr>
                <w:b w:val="0"/>
                <w:color w:val="000000"/>
                <w:sz w:val="18"/>
              </w:rPr>
              <w:t>Hueco sin registro</w:t>
            </w:r>
          </w:p>
        </w:tc>
        <w:tc>
          <w:tcPr>
            <w:tcW w:type="dxa" w:w="4896"/>
          </w:tcPr>
          <w:p>
            <w:pPr>
              <w:jc w:val="center"/>
            </w:pPr>
            <w:r/>
            <w:r>
              <w:rPr>
                <w:b w:val="0"/>
                <w:color w:val="000000"/>
                <w:sz w:val="18"/>
              </w:rPr>
              <w:t>14/08/2026 – 17/08/2026 (lluvias / conectividad)</w:t>
            </w:r>
          </w:p>
        </w:tc>
      </w:tr>
      <w:tr>
        <w:tc>
          <w:tcPr>
            <w:tcW w:type="dxa" w:w="4896"/>
          </w:tcPr>
          <w:p>
            <w:pPr>
              <w:jc w:val="center"/>
            </w:pPr>
            <w:r/>
            <w:r>
              <w:rPr>
                <w:b w:val="0"/>
                <w:color w:val="000000"/>
                <w:sz w:val="18"/>
              </w:rPr>
              <w:t>Rango min – max diario (m³)</w:t>
            </w:r>
          </w:p>
        </w:tc>
        <w:tc>
          <w:tcPr>
            <w:tcW w:type="dxa" w:w="4896"/>
          </w:tcPr>
          <w:p>
            <w:pPr>
              <w:jc w:val="center"/>
            </w:pPr>
            <w:r/>
            <w:r>
              <w:rPr>
                <w:b w:val="0"/>
                <w:color w:val="000000"/>
                <w:sz w:val="18"/>
              </w:rPr>
              <w:t>1,4 – 12,1 (18/08/2026 / 08/08/2026)</w:t>
            </w:r>
          </w:p>
        </w:tc>
      </w:tr>
      <w:tr>
        <w:tc>
          <w:tcPr>
            <w:tcW w:type="dxa" w:w="4896"/>
          </w:tcPr>
          <w:p>
            <w:pPr>
              <w:jc w:val="center"/>
            </w:pPr>
            <w:r/>
            <w:r>
              <w:rPr>
                <w:b w:val="0"/>
                <w:color w:val="000000"/>
                <w:sz w:val="18"/>
              </w:rPr>
              <w:t>% sobre Sanitaria</w:t>
            </w:r>
          </w:p>
        </w:tc>
        <w:tc>
          <w:tcPr>
            <w:tcW w:type="dxa" w:w="4896"/>
          </w:tcPr>
          <w:p>
            <w:pPr>
              <w:jc w:val="center"/>
            </w:pPr>
            <w:r/>
            <w:r>
              <w:rPr>
                <w:b w:val="0"/>
                <w:color w:val="000000"/>
                <w:sz w:val="18"/>
              </w:rPr>
              <w:t>5,8%</w:t>
            </w:r>
          </w:p>
        </w:tc>
      </w:tr>
    </w:tbl>
    <w:p>
      <w:pPr>
        <w:spacing w:after="120"/>
      </w:pPr>
    </w:p>
    <w:p>
      <w:pPr>
        <w:spacing w:after="40"/>
        <w:jc w:val="center"/>
      </w:pPr>
      <w:r>
        <w:drawing>
          <wp:inline xmlns:a="http://schemas.openxmlformats.org/drawingml/2006/main" xmlns:pic="http://schemas.openxmlformats.org/drawingml/2006/picture">
            <wp:extent cx="5486400" cy="1607405"/>
            <wp:docPr id="9" name="Picture 9"/>
            <wp:cNvGraphicFramePr>
              <a:graphicFrameLocks noChangeAspect="1"/>
            </wp:cNvGraphicFramePr>
            <a:graphic>
              <a:graphicData uri="http://schemas.openxmlformats.org/drawingml/2006/picture">
                <pic:pic>
                  <pic:nvPicPr>
                    <pic:cNvPr id="0" name="chart_diario_sexto_piso.png"/>
                    <pic:cNvPicPr/>
                  </pic:nvPicPr>
                  <pic:blipFill>
                    <a:blip r:embed="rId17"/>
                    <a:stretch>
                      <a:fillRect/>
                    </a:stretch>
                  </pic:blipFill>
                  <pic:spPr>
                    <a:xfrm>
                      <a:off x="0" y="0"/>
                      <a:ext cx="5486400" cy="1607405"/>
                    </a:xfrm>
                    <a:prstGeom prst="rect"/>
                  </pic:spPr>
                </pic:pic>
              </a:graphicData>
            </a:graphic>
          </wp:inline>
        </w:drawing>
      </w:r>
    </w:p>
    <w:p>
      <w:pPr>
        <w:spacing w:after="160"/>
        <w:jc w:val="center"/>
      </w:pPr>
      <w:r>
        <w:rPr>
          <w:b w:val="0"/>
          <w:color w:val="505050"/>
          <w:sz w:val="16"/>
        </w:rPr>
        <w:t>Perfil de consumo diario (m³) — Sexto Piso · Fuente: WES</w:t>
      </w:r>
    </w:p>
    <w:p>
      <w:pPr>
        <w:spacing w:after="40"/>
        <w:jc w:val="center"/>
      </w:pPr>
      <w:r>
        <w:drawing>
          <wp:inline xmlns:a="http://schemas.openxmlformats.org/drawingml/2006/main" xmlns:pic="http://schemas.openxmlformats.org/drawingml/2006/picture">
            <wp:extent cx="5303520" cy="1466518"/>
            <wp:docPr id="10" name="Picture 10"/>
            <wp:cNvGraphicFramePr>
              <a:graphicFrameLocks noChangeAspect="1"/>
            </wp:cNvGraphicFramePr>
            <a:graphic>
              <a:graphicData uri="http://schemas.openxmlformats.org/drawingml/2006/picture">
                <pic:pic>
                  <pic:nvPicPr>
                    <pic:cNvPr id="0" name="chart_dow_sexto_piso.png"/>
                    <pic:cNvPicPr/>
                  </pic:nvPicPr>
                  <pic:blipFill>
                    <a:blip r:embed="rId18"/>
                    <a:stretch>
                      <a:fillRect/>
                    </a:stretch>
                  </pic:blipFill>
                  <pic:spPr>
                    <a:xfrm>
                      <a:off x="0" y="0"/>
                      <a:ext cx="5303520" cy="1466518"/>
                    </a:xfrm>
                    <a:prstGeom prst="rect"/>
                  </pic:spPr>
                </pic:pic>
              </a:graphicData>
            </a:graphic>
          </wp:inline>
        </w:drawing>
      </w:r>
    </w:p>
    <w:p>
      <w:pPr>
        <w:spacing w:after="160"/>
        <w:jc w:val="center"/>
      </w:pPr>
      <w:r>
        <w:rPr>
          <w:b w:val="0"/>
          <w:color w:val="505050"/>
          <w:sz w:val="16"/>
        </w:rPr>
        <w:t>Promedio lun–dom (m³) — Sexto Piso · Fuente: WES</w:t>
      </w:r>
    </w:p>
    <w:p>
      <w:pPr>
        <w:spacing w:before="80" w:after="80"/>
      </w:pPr>
      <w:r>
        <w:rPr>
          <w:b/>
          <w:color w:val="003366"/>
          <w:sz w:val="22"/>
        </w:rPr>
        <w:t>4) Sala de Bomba N°2 — nota operativa</w:t>
      </w:r>
    </w:p>
    <w:p>
      <w:pPr>
        <w:spacing w:after="120" w:before="0"/>
        <w:jc w:val="both"/>
      </w:pPr>
      <w:r>
        <w:rPr>
          <w:b w:val="0"/>
          <w:color w:val="000000"/>
          <w:sz w:val="20"/>
        </w:rPr>
        <w:t>El punto está instalado y fotografiado; sin embargo, desde septiembre las lecturas presentan inconsistencias que impiden usarlo en el balance primario del periodo. Se recomienda validación en terreno y, de confirmarse el desvío, recalibración o reemplazo del sensor antes de reincorporarlo al análisis.</w:t>
      </w:r>
    </w:p>
    <w:p>
      <w:pPr>
        <w:spacing w:before="80" w:after="80"/>
      </w:pPr>
      <w:r>
        <w:rPr>
          <w:b/>
          <w:color w:val="003366"/>
          <w:sz w:val="22"/>
        </w:rPr>
        <w:t>Participación sobre Sanitaria (periodo)</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003366" w:val="clear"/>
          </w:tcPr>
          <w:p>
            <w:pPr>
              <w:jc w:val="center"/>
            </w:pPr>
            <w:r>
              <w:rPr>
                <w:b/>
                <w:color w:val="FFFFFF"/>
                <w:sz w:val="18"/>
              </w:rPr>
              <w:t>Punto</w:t>
            </w:r>
          </w:p>
        </w:tc>
        <w:tc>
          <w:tcPr>
            <w:tcW w:type="dxa" w:w="3264"/>
            <w:shd w:fill="003366" w:val="clear"/>
          </w:tcPr>
          <w:p>
            <w:pPr>
              <w:jc w:val="center"/>
            </w:pPr>
            <w:r>
              <w:rPr>
                <w:b/>
                <w:color w:val="FFFFFF"/>
                <w:sz w:val="18"/>
              </w:rPr>
              <w:t>Consumo (m³)</w:t>
            </w:r>
          </w:p>
        </w:tc>
        <w:tc>
          <w:tcPr>
            <w:tcW w:type="dxa" w:w="3264"/>
            <w:shd w:fill="003366" w:val="clear"/>
          </w:tcPr>
          <w:p>
            <w:pPr>
              <w:jc w:val="center"/>
            </w:pPr>
            <w:r>
              <w:rPr>
                <w:b/>
                <w:color w:val="FFFFFF"/>
                <w:sz w:val="18"/>
              </w:rPr>
              <w:t>% sobre Sanitaria</w:t>
            </w:r>
          </w:p>
        </w:tc>
      </w:tr>
      <w:tr>
        <w:tc>
          <w:tcPr>
            <w:tcW w:type="dxa" w:w="3264"/>
          </w:tcPr>
          <w:p>
            <w:pPr>
              <w:jc w:val="center"/>
            </w:pPr>
            <w:r/>
            <w:r>
              <w:rPr>
                <w:b w:val="0"/>
                <w:color w:val="000000"/>
                <w:sz w:val="18"/>
              </w:rPr>
              <w:t>Medidor Principal Sanitaria</w:t>
            </w:r>
          </w:p>
        </w:tc>
        <w:tc>
          <w:tcPr>
            <w:tcW w:type="dxa" w:w="3264"/>
          </w:tcPr>
          <w:p>
            <w:pPr>
              <w:jc w:val="center"/>
            </w:pPr>
            <w:r/>
            <w:r>
              <w:rPr>
                <w:b w:val="0"/>
                <w:color w:val="000000"/>
                <w:sz w:val="18"/>
              </w:rPr>
              <w:t>6.772,3</w:t>
            </w:r>
          </w:p>
        </w:tc>
        <w:tc>
          <w:tcPr>
            <w:tcW w:type="dxa" w:w="3264"/>
          </w:tcPr>
          <w:p>
            <w:pPr>
              <w:jc w:val="center"/>
            </w:pPr>
            <w:r/>
            <w:r>
              <w:rPr>
                <w:b w:val="0"/>
                <w:color w:val="000000"/>
                <w:sz w:val="18"/>
              </w:rPr>
              <w:t>100,0%</w:t>
            </w:r>
          </w:p>
        </w:tc>
      </w:tr>
      <w:tr>
        <w:tc>
          <w:tcPr>
            <w:tcW w:type="dxa" w:w="3264"/>
          </w:tcPr>
          <w:p>
            <w:pPr>
              <w:jc w:val="center"/>
            </w:pPr>
            <w:r/>
            <w:r>
              <w:rPr>
                <w:b w:val="0"/>
                <w:color w:val="000000"/>
                <w:sz w:val="18"/>
              </w:rPr>
              <w:t>Sala de Bomba Principal</w:t>
            </w:r>
          </w:p>
        </w:tc>
        <w:tc>
          <w:tcPr>
            <w:tcW w:type="dxa" w:w="3264"/>
          </w:tcPr>
          <w:p>
            <w:pPr>
              <w:jc w:val="center"/>
            </w:pPr>
            <w:r/>
            <w:r>
              <w:rPr>
                <w:b w:val="0"/>
                <w:color w:val="000000"/>
                <w:sz w:val="18"/>
              </w:rPr>
              <w:t>3.021,9</w:t>
            </w:r>
          </w:p>
        </w:tc>
        <w:tc>
          <w:tcPr>
            <w:tcW w:type="dxa" w:w="3264"/>
          </w:tcPr>
          <w:p>
            <w:pPr>
              <w:jc w:val="center"/>
            </w:pPr>
            <w:r/>
            <w:r>
              <w:rPr>
                <w:b w:val="0"/>
                <w:color w:val="000000"/>
                <w:sz w:val="18"/>
              </w:rPr>
              <w:t>44,6%</w:t>
            </w:r>
          </w:p>
        </w:tc>
      </w:tr>
      <w:tr>
        <w:tc>
          <w:tcPr>
            <w:tcW w:type="dxa" w:w="3264"/>
          </w:tcPr>
          <w:p>
            <w:pPr>
              <w:jc w:val="center"/>
            </w:pPr>
            <w:r/>
            <w:r>
              <w:rPr>
                <w:b w:val="0"/>
                <w:color w:val="000000"/>
                <w:sz w:val="18"/>
              </w:rPr>
              <w:t>Sala de Bomba Sexto Piso</w:t>
            </w:r>
          </w:p>
        </w:tc>
        <w:tc>
          <w:tcPr>
            <w:tcW w:type="dxa" w:w="3264"/>
          </w:tcPr>
          <w:p>
            <w:pPr>
              <w:jc w:val="center"/>
            </w:pPr>
            <w:r/>
            <w:r>
              <w:rPr>
                <w:b w:val="0"/>
                <w:color w:val="000000"/>
                <w:sz w:val="18"/>
              </w:rPr>
              <w:t>395,7</w:t>
            </w:r>
          </w:p>
        </w:tc>
        <w:tc>
          <w:tcPr>
            <w:tcW w:type="dxa" w:w="3264"/>
          </w:tcPr>
          <w:p>
            <w:pPr>
              <w:jc w:val="center"/>
            </w:pPr>
            <w:r/>
            <w:r>
              <w:rPr>
                <w:b w:val="0"/>
                <w:color w:val="000000"/>
                <w:sz w:val="18"/>
              </w:rPr>
              <w:t>5,8%</w:t>
            </w:r>
          </w:p>
        </w:tc>
      </w:tr>
      <w:tr>
        <w:tc>
          <w:tcPr>
            <w:tcW w:type="dxa" w:w="3264"/>
          </w:tcPr>
          <w:p>
            <w:pPr>
              <w:jc w:val="center"/>
            </w:pPr>
            <w:r/>
            <w:r>
              <w:rPr>
                <w:b w:val="0"/>
                <w:color w:val="000000"/>
                <w:sz w:val="18"/>
              </w:rPr>
              <w:t>Principal + Sexto</w:t>
            </w:r>
          </w:p>
        </w:tc>
        <w:tc>
          <w:tcPr>
            <w:tcW w:type="dxa" w:w="3264"/>
          </w:tcPr>
          <w:p>
            <w:pPr>
              <w:jc w:val="center"/>
            </w:pPr>
            <w:r/>
            <w:r>
              <w:rPr>
                <w:b w:val="0"/>
                <w:color w:val="000000"/>
                <w:sz w:val="18"/>
              </w:rPr>
              <w:t>3.417,6</w:t>
            </w:r>
          </w:p>
        </w:tc>
        <w:tc>
          <w:tcPr>
            <w:tcW w:type="dxa" w:w="3264"/>
          </w:tcPr>
          <w:p>
            <w:pPr>
              <w:jc w:val="center"/>
            </w:pPr>
            <w:r/>
            <w:r>
              <w:rPr>
                <w:b w:val="0"/>
                <w:color w:val="000000"/>
                <w:sz w:val="18"/>
              </w:rPr>
              <w:t>50,5%</w:t>
            </w:r>
          </w:p>
        </w:tc>
      </w:tr>
      <w:tr>
        <w:tc>
          <w:tcPr>
            <w:tcW w:type="dxa" w:w="3264"/>
          </w:tcPr>
          <w:p>
            <w:pPr>
              <w:jc w:val="center"/>
            </w:pPr>
            <w:r/>
            <w:r>
              <w:rPr>
                <w:b w:val="0"/>
                <w:color w:val="000000"/>
                <w:sz w:val="18"/>
              </w:rPr>
              <w:t>No monitoreado (brecha)</w:t>
            </w:r>
          </w:p>
        </w:tc>
        <w:tc>
          <w:tcPr>
            <w:tcW w:type="dxa" w:w="3264"/>
          </w:tcPr>
          <w:p>
            <w:pPr>
              <w:jc w:val="center"/>
            </w:pPr>
            <w:r/>
            <w:r>
              <w:rPr>
                <w:b w:val="0"/>
                <w:color w:val="000000"/>
                <w:sz w:val="18"/>
              </w:rPr>
              <w:t>3.354,7</w:t>
            </w:r>
          </w:p>
        </w:tc>
        <w:tc>
          <w:tcPr>
            <w:tcW w:type="dxa" w:w="3264"/>
          </w:tcPr>
          <w:p>
            <w:pPr>
              <w:jc w:val="center"/>
            </w:pPr>
            <w:r/>
            <w:r>
              <w:rPr>
                <w:b w:val="0"/>
                <w:color w:val="000000"/>
                <w:sz w:val="18"/>
              </w:rPr>
              <w:t>49,5%</w:t>
            </w:r>
          </w:p>
        </w:tc>
      </w:tr>
    </w:tbl>
    <w:p>
      <w:pPr>
        <w:spacing w:after="120"/>
      </w:pPr>
    </w:p>
    <w:p>
      <w:pPr>
        <w:spacing w:after="40"/>
        <w:jc w:val="center"/>
      </w:pPr>
      <w:r>
        <w:drawing>
          <wp:inline xmlns:a="http://schemas.openxmlformats.org/drawingml/2006/main" xmlns:pic="http://schemas.openxmlformats.org/drawingml/2006/picture">
            <wp:extent cx="3291840" cy="2466032"/>
            <wp:docPr id="11" name="Picture 11"/>
            <wp:cNvGraphicFramePr>
              <a:graphicFrameLocks noChangeAspect="1"/>
            </wp:cNvGraphicFramePr>
            <a:graphic>
              <a:graphicData uri="http://schemas.openxmlformats.org/drawingml/2006/picture">
                <pic:pic>
                  <pic:nvPicPr>
                    <pic:cNvPr id="0" name="chart_participacion.png"/>
                    <pic:cNvPicPr/>
                  </pic:nvPicPr>
                  <pic:blipFill>
                    <a:blip r:embed="rId19"/>
                    <a:stretch>
                      <a:fillRect/>
                    </a:stretch>
                  </pic:blipFill>
                  <pic:spPr>
                    <a:xfrm>
                      <a:off x="0" y="0"/>
                      <a:ext cx="3291840" cy="2466032"/>
                    </a:xfrm>
                    <a:prstGeom prst="rect"/>
                  </pic:spPr>
                </pic:pic>
              </a:graphicData>
            </a:graphic>
          </wp:inline>
        </w:drawing>
      </w:r>
    </w:p>
    <w:p>
      <w:pPr>
        <w:spacing w:after="160"/>
        <w:jc w:val="center"/>
      </w:pPr>
      <w:r>
        <w:rPr>
          <w:b w:val="0"/>
          <w:color w:val="505050"/>
          <w:sz w:val="16"/>
        </w:rPr>
        <w:t>Distribución % vs Sanitaria</w:t>
      </w:r>
    </w:p>
    <w:p>
      <w:r>
        <w:br w:type="page"/>
      </w:r>
    </w:p>
    <w:p>
      <w:pPr>
        <w:spacing w:before="160" w:after="120"/>
        <w:jc w:val="left"/>
      </w:pPr>
      <w:r>
        <w:rPr>
          <w:b/>
          <w:color w:val="003366"/>
          <w:sz w:val="28"/>
        </w:rPr>
        <w:t>VI. Facturación sanitaria — Aguas Antofagasta</w:t>
      </w:r>
    </w:p>
    <w:p>
      <w:pPr>
        <w:spacing w:after="120" w:before="0"/>
        <w:jc w:val="both"/>
      </w:pPr>
      <w:r>
        <w:rPr>
          <w:b w:val="0"/>
          <w:color w:val="000000"/>
          <w:sz w:val="20"/>
        </w:rPr>
        <w:t>Consolidación de las boletas del cliente Centro Médico Antofagasta S.A. (N° cliente 1110080842 · medidor 534 · diámetro 50 mm · dirección Manuel Antonio Matta 1957). Fuente: carpeta Bupa Antofagasta / Facturacion (4 PDF).</w:t>
      </w:r>
    </w:p>
    <w:p>
      <w:pPr>
        <w:spacing w:after="40"/>
        <w:jc w:val="center"/>
      </w:pPr>
      <w:r>
        <w:drawing>
          <wp:inline xmlns:a="http://schemas.openxmlformats.org/drawingml/2006/main" xmlns:pic="http://schemas.openxmlformats.org/drawingml/2006/picture">
            <wp:extent cx="5029200" cy="1971758"/>
            <wp:docPr id="12" name="Picture 12"/>
            <wp:cNvGraphicFramePr>
              <a:graphicFrameLocks noChangeAspect="1"/>
            </wp:cNvGraphicFramePr>
            <a:graphic>
              <a:graphicData uri="http://schemas.openxmlformats.org/drawingml/2006/picture">
                <pic:pic>
                  <pic:nvPicPr>
                    <pic:cNvPr id="0" name="chart_facturas_m3.png"/>
                    <pic:cNvPicPr/>
                  </pic:nvPicPr>
                  <pic:blipFill>
                    <a:blip r:embed="rId20"/>
                    <a:stretch>
                      <a:fillRect/>
                    </a:stretch>
                  </pic:blipFill>
                  <pic:spPr>
                    <a:xfrm>
                      <a:off x="0" y="0"/>
                      <a:ext cx="5029200" cy="1971758"/>
                    </a:xfrm>
                    <a:prstGeom prst="rect"/>
                  </pic:spPr>
                </pic:pic>
              </a:graphicData>
            </a:graphic>
          </wp:inline>
        </w:drawing>
      </w:r>
    </w:p>
    <w:p>
      <w:pPr>
        <w:spacing w:after="160"/>
        <w:jc w:val="center"/>
      </w:pPr>
      <w:r>
        <w:rPr>
          <w:b w:val="0"/>
          <w:color w:val="505050"/>
          <w:sz w:val="16"/>
        </w:rPr>
        <w:t>Consumo facturado por ciclo (m³)</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003366" w:val="clear"/>
          </w:tcPr>
          <w:p>
            <w:pPr>
              <w:jc w:val="center"/>
            </w:pPr>
            <w:r>
              <w:rPr>
                <w:b/>
                <w:color w:val="FFFFFF"/>
                <w:sz w:val="18"/>
              </w:rPr>
              <w:t>Periodo</w:t>
            </w:r>
          </w:p>
        </w:tc>
        <w:tc>
          <w:tcPr>
            <w:tcW w:type="dxa" w:w="1958"/>
            <w:shd w:fill="003366" w:val="clear"/>
          </w:tcPr>
          <w:p>
            <w:pPr>
              <w:jc w:val="center"/>
            </w:pPr>
            <w:r>
              <w:rPr>
                <w:b/>
                <w:color w:val="FFFFFF"/>
                <w:sz w:val="18"/>
              </w:rPr>
              <w:t>Emisión</w:t>
            </w:r>
          </w:p>
        </w:tc>
        <w:tc>
          <w:tcPr>
            <w:tcW w:type="dxa" w:w="1958"/>
            <w:shd w:fill="003366" w:val="clear"/>
          </w:tcPr>
          <w:p>
            <w:pPr>
              <w:jc w:val="center"/>
            </w:pPr>
            <w:r>
              <w:rPr>
                <w:b/>
                <w:color w:val="FFFFFF"/>
                <w:sz w:val="18"/>
              </w:rPr>
              <w:t>Consumo (m³)</w:t>
            </w:r>
          </w:p>
        </w:tc>
        <w:tc>
          <w:tcPr>
            <w:tcW w:type="dxa" w:w="1958"/>
            <w:shd w:fill="003366" w:val="clear"/>
          </w:tcPr>
          <w:p>
            <w:pPr>
              <w:jc w:val="center"/>
            </w:pPr>
            <w:r>
              <w:rPr>
                <w:b/>
                <w:color w:val="FFFFFF"/>
                <w:sz w:val="18"/>
              </w:rPr>
              <w:t>Monto facturado</w:t>
            </w:r>
          </w:p>
        </w:tc>
        <w:tc>
          <w:tcPr>
            <w:tcW w:type="dxa" w:w="1958"/>
            <w:shd w:fill="003366" w:val="clear"/>
          </w:tcPr>
          <w:p>
            <w:pPr>
              <w:jc w:val="center"/>
            </w:pPr>
            <w:r>
              <w:rPr>
                <w:b/>
                <w:color w:val="FFFFFF"/>
                <w:sz w:val="18"/>
              </w:rPr>
              <w:t>N° factura</w:t>
            </w:r>
          </w:p>
        </w:tc>
      </w:tr>
      <w:tr>
        <w:tc>
          <w:tcPr>
            <w:tcW w:type="dxa" w:w="1958"/>
          </w:tcPr>
          <w:p>
            <w:pPr>
              <w:jc w:val="center"/>
            </w:pPr>
            <w:r/>
            <w:r>
              <w:rPr>
                <w:b w:val="0"/>
                <w:color w:val="000000"/>
                <w:sz w:val="16"/>
              </w:rPr>
              <w:t>Junio 2026</w:t>
            </w:r>
          </w:p>
        </w:tc>
        <w:tc>
          <w:tcPr>
            <w:tcW w:type="dxa" w:w="1958"/>
          </w:tcPr>
          <w:p>
            <w:pPr>
              <w:jc w:val="center"/>
            </w:pPr>
            <w:r/>
            <w:r>
              <w:rPr>
                <w:b w:val="0"/>
                <w:color w:val="000000"/>
                <w:sz w:val="16"/>
              </w:rPr>
              <w:t>02-06-2026</w:t>
            </w:r>
          </w:p>
        </w:tc>
        <w:tc>
          <w:tcPr>
            <w:tcW w:type="dxa" w:w="1958"/>
          </w:tcPr>
          <w:p>
            <w:pPr>
              <w:jc w:val="center"/>
            </w:pPr>
            <w:r/>
            <w:r>
              <w:rPr>
                <w:b w:val="0"/>
                <w:color w:val="000000"/>
                <w:sz w:val="16"/>
              </w:rPr>
              <w:t>7.102</w:t>
            </w:r>
          </w:p>
        </w:tc>
        <w:tc>
          <w:tcPr>
            <w:tcW w:type="dxa" w:w="1958"/>
          </w:tcPr>
          <w:p>
            <w:pPr>
              <w:jc w:val="center"/>
            </w:pPr>
            <w:r/>
            <w:r>
              <w:rPr>
                <w:b w:val="0"/>
                <w:color w:val="000000"/>
                <w:sz w:val="16"/>
              </w:rPr>
              <w:t>$19.662.850</w:t>
            </w:r>
          </w:p>
        </w:tc>
        <w:tc>
          <w:tcPr>
            <w:tcW w:type="dxa" w:w="1958"/>
          </w:tcPr>
          <w:p>
            <w:pPr>
              <w:jc w:val="center"/>
            </w:pPr>
            <w:r/>
            <w:r>
              <w:rPr>
                <w:b w:val="0"/>
                <w:color w:val="000000"/>
                <w:sz w:val="16"/>
              </w:rPr>
              <w:t>1453711</w:t>
            </w:r>
          </w:p>
        </w:tc>
      </w:tr>
      <w:tr>
        <w:tc>
          <w:tcPr>
            <w:tcW w:type="dxa" w:w="1958"/>
          </w:tcPr>
          <w:p>
            <w:pPr>
              <w:jc w:val="center"/>
            </w:pPr>
            <w:r/>
            <w:r>
              <w:rPr>
                <w:b w:val="0"/>
                <w:color w:val="000000"/>
                <w:sz w:val="16"/>
              </w:rPr>
              <w:t>Julio 2026</w:t>
            </w:r>
          </w:p>
        </w:tc>
        <w:tc>
          <w:tcPr>
            <w:tcW w:type="dxa" w:w="1958"/>
          </w:tcPr>
          <w:p>
            <w:pPr>
              <w:jc w:val="center"/>
            </w:pPr>
            <w:r/>
            <w:r>
              <w:rPr>
                <w:b w:val="0"/>
                <w:color w:val="000000"/>
                <w:sz w:val="16"/>
              </w:rPr>
              <w:t>03-07-2026</w:t>
            </w:r>
          </w:p>
        </w:tc>
        <w:tc>
          <w:tcPr>
            <w:tcW w:type="dxa" w:w="1958"/>
          </w:tcPr>
          <w:p>
            <w:pPr>
              <w:jc w:val="center"/>
            </w:pPr>
            <w:r/>
            <w:r>
              <w:rPr>
                <w:b w:val="0"/>
                <w:color w:val="000000"/>
                <w:sz w:val="16"/>
              </w:rPr>
              <w:t>6.696</w:t>
            </w:r>
          </w:p>
        </w:tc>
        <w:tc>
          <w:tcPr>
            <w:tcW w:type="dxa" w:w="1958"/>
          </w:tcPr>
          <w:p>
            <w:pPr>
              <w:jc w:val="center"/>
            </w:pPr>
            <w:r/>
            <w:r>
              <w:rPr>
                <w:b w:val="0"/>
                <w:color w:val="000000"/>
                <w:sz w:val="16"/>
              </w:rPr>
              <w:t>$18.538.860</w:t>
            </w:r>
          </w:p>
        </w:tc>
        <w:tc>
          <w:tcPr>
            <w:tcW w:type="dxa" w:w="1958"/>
          </w:tcPr>
          <w:p>
            <w:pPr>
              <w:jc w:val="center"/>
            </w:pPr>
            <w:r/>
            <w:r>
              <w:rPr>
                <w:b w:val="0"/>
                <w:color w:val="000000"/>
                <w:sz w:val="16"/>
              </w:rPr>
              <w:t>1460583</w:t>
            </w:r>
          </w:p>
        </w:tc>
      </w:tr>
      <w:tr>
        <w:tc>
          <w:tcPr>
            <w:tcW w:type="dxa" w:w="1958"/>
          </w:tcPr>
          <w:p>
            <w:pPr>
              <w:jc w:val="center"/>
            </w:pPr>
            <w:r/>
            <w:r>
              <w:rPr>
                <w:b w:val="0"/>
                <w:color w:val="000000"/>
                <w:sz w:val="16"/>
              </w:rPr>
              <w:t>Agosto 2026</w:t>
            </w:r>
          </w:p>
        </w:tc>
        <w:tc>
          <w:tcPr>
            <w:tcW w:type="dxa" w:w="1958"/>
          </w:tcPr>
          <w:p>
            <w:pPr>
              <w:jc w:val="center"/>
            </w:pPr>
            <w:r/>
            <w:r>
              <w:rPr>
                <w:b w:val="0"/>
                <w:color w:val="000000"/>
                <w:sz w:val="16"/>
              </w:rPr>
              <w:t>04-08-2026</w:t>
            </w:r>
          </w:p>
        </w:tc>
        <w:tc>
          <w:tcPr>
            <w:tcW w:type="dxa" w:w="1958"/>
          </w:tcPr>
          <w:p>
            <w:pPr>
              <w:jc w:val="center"/>
            </w:pPr>
            <w:r/>
            <w:r>
              <w:rPr>
                <w:b w:val="0"/>
                <w:color w:val="000000"/>
                <w:sz w:val="16"/>
              </w:rPr>
              <w:t>7.627</w:t>
            </w:r>
          </w:p>
        </w:tc>
        <w:tc>
          <w:tcPr>
            <w:tcW w:type="dxa" w:w="1958"/>
          </w:tcPr>
          <w:p>
            <w:pPr>
              <w:jc w:val="center"/>
            </w:pPr>
            <w:r/>
            <w:r>
              <w:rPr>
                <w:b w:val="0"/>
                <w:color w:val="000000"/>
                <w:sz w:val="16"/>
              </w:rPr>
              <w:t>$21.116.260</w:t>
            </w:r>
          </w:p>
        </w:tc>
        <w:tc>
          <w:tcPr>
            <w:tcW w:type="dxa" w:w="1958"/>
          </w:tcPr>
          <w:p>
            <w:pPr>
              <w:jc w:val="center"/>
            </w:pPr>
            <w:r/>
            <w:r>
              <w:rPr>
                <w:b w:val="0"/>
                <w:color w:val="000000"/>
                <w:sz w:val="16"/>
              </w:rPr>
              <w:t>1467321</w:t>
            </w:r>
          </w:p>
        </w:tc>
      </w:tr>
      <w:tr>
        <w:tc>
          <w:tcPr>
            <w:tcW w:type="dxa" w:w="1958"/>
          </w:tcPr>
          <w:p>
            <w:pPr>
              <w:jc w:val="center"/>
            </w:pPr>
            <w:r/>
            <w:r>
              <w:rPr>
                <w:b w:val="0"/>
                <w:color w:val="000000"/>
                <w:sz w:val="16"/>
              </w:rPr>
              <w:t>Septiembre 2026</w:t>
            </w:r>
          </w:p>
        </w:tc>
        <w:tc>
          <w:tcPr>
            <w:tcW w:type="dxa" w:w="1958"/>
          </w:tcPr>
          <w:p>
            <w:pPr>
              <w:jc w:val="center"/>
            </w:pPr>
            <w:r/>
            <w:r>
              <w:rPr>
                <w:b w:val="0"/>
                <w:color w:val="000000"/>
                <w:sz w:val="16"/>
              </w:rPr>
              <w:t>27-08-2026</w:t>
            </w:r>
          </w:p>
        </w:tc>
        <w:tc>
          <w:tcPr>
            <w:tcW w:type="dxa" w:w="1958"/>
          </w:tcPr>
          <w:p>
            <w:pPr>
              <w:jc w:val="center"/>
            </w:pPr>
            <w:r/>
            <w:r>
              <w:rPr>
                <w:b w:val="0"/>
                <w:color w:val="000000"/>
                <w:sz w:val="16"/>
              </w:rPr>
              <w:t>2.873</w:t>
            </w:r>
          </w:p>
        </w:tc>
        <w:tc>
          <w:tcPr>
            <w:tcW w:type="dxa" w:w="1958"/>
          </w:tcPr>
          <w:p>
            <w:pPr>
              <w:jc w:val="center"/>
            </w:pPr>
            <w:r/>
            <w:r>
              <w:rPr>
                <w:b w:val="0"/>
                <w:color w:val="000000"/>
                <w:sz w:val="16"/>
              </w:rPr>
              <w:t>$7.955.190</w:t>
            </w:r>
          </w:p>
        </w:tc>
        <w:tc>
          <w:tcPr>
            <w:tcW w:type="dxa" w:w="1958"/>
          </w:tcPr>
          <w:p>
            <w:pPr>
              <w:jc w:val="center"/>
            </w:pPr>
            <w:r/>
            <w:r>
              <w:rPr>
                <w:b w:val="0"/>
                <w:color w:val="000000"/>
                <w:sz w:val="16"/>
              </w:rPr>
              <w:t>1474021</w:t>
            </w:r>
          </w:p>
        </w:tc>
      </w:tr>
      <w:tr>
        <w:tc>
          <w:tcPr>
            <w:tcW w:type="dxa" w:w="1958"/>
          </w:tcPr>
          <w:p>
            <w:pPr>
              <w:jc w:val="center"/>
            </w:pPr>
            <w:r/>
            <w:r>
              <w:rPr>
                <w:b/>
                <w:color w:val="000000"/>
                <w:sz w:val="16"/>
              </w:rPr>
              <w:t>Total</w:t>
            </w:r>
          </w:p>
        </w:tc>
        <w:tc>
          <w:tcPr>
            <w:tcW w:type="dxa" w:w="1958"/>
          </w:tcPr>
          <w:p>
            <w:pPr>
              <w:jc w:val="center"/>
            </w:pPr>
            <w:r/>
            <w:r>
              <w:rPr>
                <w:b/>
                <w:color w:val="000000"/>
                <w:sz w:val="16"/>
              </w:rPr>
              <w:t>—</w:t>
            </w:r>
          </w:p>
        </w:tc>
        <w:tc>
          <w:tcPr>
            <w:tcW w:type="dxa" w:w="1958"/>
          </w:tcPr>
          <w:p>
            <w:pPr>
              <w:jc w:val="center"/>
            </w:pPr>
            <w:r/>
            <w:r>
              <w:rPr>
                <w:b/>
                <w:color w:val="000000"/>
                <w:sz w:val="16"/>
              </w:rPr>
              <w:t>24.298</w:t>
            </w:r>
          </w:p>
        </w:tc>
        <w:tc>
          <w:tcPr>
            <w:tcW w:type="dxa" w:w="1958"/>
          </w:tcPr>
          <w:p>
            <w:pPr>
              <w:jc w:val="center"/>
            </w:pPr>
            <w:r/>
            <w:r>
              <w:rPr>
                <w:b/>
                <w:color w:val="000000"/>
                <w:sz w:val="16"/>
              </w:rPr>
              <w:t>$67.273.160</w:t>
            </w:r>
          </w:p>
        </w:tc>
        <w:tc>
          <w:tcPr>
            <w:tcW w:type="dxa" w:w="1958"/>
          </w:tcPr>
          <w:p>
            <w:pPr>
              <w:jc w:val="center"/>
            </w:pPr>
            <w:r/>
            <w:r>
              <w:rPr>
                <w:b/>
                <w:color w:val="000000"/>
                <w:sz w:val="16"/>
              </w:rPr>
              <w:t>—</w:t>
            </w:r>
          </w:p>
        </w:tc>
      </w:tr>
    </w:tbl>
    <w:p>
      <w:pPr>
        <w:spacing w:after="120"/>
      </w:pPr>
    </w:p>
    <w:p>
      <w:pPr>
        <w:spacing w:before="80" w:after="80"/>
      </w:pPr>
      <w:r>
        <w:rPr>
          <w:b/>
          <w:color w:val="003366"/>
          <w:sz w:val="22"/>
        </w:rPr>
        <w:t>Lecturas encadenadas del medidor 534</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003366" w:val="clear"/>
          </w:tcPr>
          <w:p>
            <w:pPr>
              <w:jc w:val="center"/>
            </w:pPr>
            <w:r>
              <w:rPr>
                <w:b/>
                <w:color w:val="FFFFFF"/>
                <w:sz w:val="18"/>
              </w:rPr>
              <w:t>Ciclo</w:t>
            </w:r>
          </w:p>
        </w:tc>
        <w:tc>
          <w:tcPr>
            <w:tcW w:type="dxa" w:w="1958"/>
            <w:shd w:fill="003366" w:val="clear"/>
          </w:tcPr>
          <w:p>
            <w:pPr>
              <w:jc w:val="center"/>
            </w:pPr>
            <w:r>
              <w:rPr>
                <w:b/>
                <w:color w:val="FFFFFF"/>
                <w:sz w:val="18"/>
              </w:rPr>
              <w:t>Lectura anterior</w:t>
            </w:r>
          </w:p>
        </w:tc>
        <w:tc>
          <w:tcPr>
            <w:tcW w:type="dxa" w:w="1958"/>
            <w:shd w:fill="003366" w:val="clear"/>
          </w:tcPr>
          <w:p>
            <w:pPr>
              <w:jc w:val="center"/>
            </w:pPr>
            <w:r>
              <w:rPr>
                <w:b/>
                <w:color w:val="FFFFFF"/>
                <w:sz w:val="18"/>
              </w:rPr>
              <w:t>Lectura actual</w:t>
            </w:r>
          </w:p>
        </w:tc>
        <w:tc>
          <w:tcPr>
            <w:tcW w:type="dxa" w:w="1958"/>
            <w:shd w:fill="003366" w:val="clear"/>
          </w:tcPr>
          <w:p>
            <w:pPr>
              <w:jc w:val="center"/>
            </w:pPr>
            <w:r>
              <w:rPr>
                <w:b/>
                <w:color w:val="FFFFFF"/>
                <w:sz w:val="18"/>
              </w:rPr>
              <w:t>m³</w:t>
            </w:r>
          </w:p>
        </w:tc>
        <w:tc>
          <w:tcPr>
            <w:tcW w:type="dxa" w:w="1958"/>
            <w:shd w:fill="003366" w:val="clear"/>
          </w:tcPr>
          <w:p>
            <w:pPr>
              <w:jc w:val="center"/>
            </w:pPr>
            <w:r>
              <w:rPr>
                <w:b/>
                <w:color w:val="FFFFFF"/>
                <w:sz w:val="18"/>
              </w:rPr>
              <w:t>N° factura</w:t>
            </w:r>
          </w:p>
        </w:tc>
      </w:tr>
      <w:tr>
        <w:tc>
          <w:tcPr>
            <w:tcW w:type="dxa" w:w="1958"/>
          </w:tcPr>
          <w:p>
            <w:pPr>
              <w:jc w:val="center"/>
            </w:pPr>
            <w:r/>
            <w:r>
              <w:rPr>
                <w:b w:val="0"/>
                <w:color w:val="000000"/>
                <w:sz w:val="16"/>
              </w:rPr>
              <w:t>Junio 2026</w:t>
            </w:r>
          </w:p>
        </w:tc>
        <w:tc>
          <w:tcPr>
            <w:tcW w:type="dxa" w:w="1958"/>
          </w:tcPr>
          <w:p>
            <w:pPr>
              <w:jc w:val="center"/>
            </w:pPr>
            <w:r/>
            <w:r>
              <w:rPr>
                <w:b w:val="0"/>
                <w:color w:val="000000"/>
                <w:sz w:val="16"/>
              </w:rPr>
              <w:t>87562</w:t>
            </w:r>
          </w:p>
        </w:tc>
        <w:tc>
          <w:tcPr>
            <w:tcW w:type="dxa" w:w="1958"/>
          </w:tcPr>
          <w:p>
            <w:pPr>
              <w:jc w:val="center"/>
            </w:pPr>
            <w:r/>
            <w:r>
              <w:rPr>
                <w:b w:val="0"/>
                <w:color w:val="000000"/>
                <w:sz w:val="16"/>
              </w:rPr>
              <w:t>94664</w:t>
            </w:r>
          </w:p>
        </w:tc>
        <w:tc>
          <w:tcPr>
            <w:tcW w:type="dxa" w:w="1958"/>
          </w:tcPr>
          <w:p>
            <w:pPr>
              <w:jc w:val="center"/>
            </w:pPr>
            <w:r/>
            <w:r>
              <w:rPr>
                <w:b w:val="0"/>
                <w:color w:val="000000"/>
                <w:sz w:val="16"/>
              </w:rPr>
              <w:t>7.102</w:t>
            </w:r>
          </w:p>
        </w:tc>
        <w:tc>
          <w:tcPr>
            <w:tcW w:type="dxa" w:w="1958"/>
          </w:tcPr>
          <w:p>
            <w:pPr>
              <w:jc w:val="center"/>
            </w:pPr>
            <w:r/>
            <w:r>
              <w:rPr>
                <w:b w:val="0"/>
                <w:color w:val="000000"/>
                <w:sz w:val="16"/>
              </w:rPr>
              <w:t>1453711</w:t>
            </w:r>
          </w:p>
        </w:tc>
      </w:tr>
      <w:tr>
        <w:tc>
          <w:tcPr>
            <w:tcW w:type="dxa" w:w="1958"/>
          </w:tcPr>
          <w:p>
            <w:pPr>
              <w:jc w:val="center"/>
            </w:pPr>
            <w:r/>
            <w:r>
              <w:rPr>
                <w:b w:val="0"/>
                <w:color w:val="000000"/>
                <w:sz w:val="16"/>
              </w:rPr>
              <w:t>Julio 2026</w:t>
            </w:r>
          </w:p>
        </w:tc>
        <w:tc>
          <w:tcPr>
            <w:tcW w:type="dxa" w:w="1958"/>
          </w:tcPr>
          <w:p>
            <w:pPr>
              <w:jc w:val="center"/>
            </w:pPr>
            <w:r/>
            <w:r>
              <w:rPr>
                <w:b w:val="0"/>
                <w:color w:val="000000"/>
                <w:sz w:val="16"/>
              </w:rPr>
              <w:t>94664</w:t>
            </w:r>
          </w:p>
        </w:tc>
        <w:tc>
          <w:tcPr>
            <w:tcW w:type="dxa" w:w="1958"/>
          </w:tcPr>
          <w:p>
            <w:pPr>
              <w:jc w:val="center"/>
            </w:pPr>
            <w:r/>
            <w:r>
              <w:rPr>
                <w:b w:val="0"/>
                <w:color w:val="000000"/>
                <w:sz w:val="16"/>
              </w:rPr>
              <w:t>101360</w:t>
            </w:r>
          </w:p>
        </w:tc>
        <w:tc>
          <w:tcPr>
            <w:tcW w:type="dxa" w:w="1958"/>
          </w:tcPr>
          <w:p>
            <w:pPr>
              <w:jc w:val="center"/>
            </w:pPr>
            <w:r/>
            <w:r>
              <w:rPr>
                <w:b w:val="0"/>
                <w:color w:val="000000"/>
                <w:sz w:val="16"/>
              </w:rPr>
              <w:t>6.696</w:t>
            </w:r>
          </w:p>
        </w:tc>
        <w:tc>
          <w:tcPr>
            <w:tcW w:type="dxa" w:w="1958"/>
          </w:tcPr>
          <w:p>
            <w:pPr>
              <w:jc w:val="center"/>
            </w:pPr>
            <w:r/>
            <w:r>
              <w:rPr>
                <w:b w:val="0"/>
                <w:color w:val="000000"/>
                <w:sz w:val="16"/>
              </w:rPr>
              <w:t>1460583</w:t>
            </w:r>
          </w:p>
        </w:tc>
      </w:tr>
      <w:tr>
        <w:tc>
          <w:tcPr>
            <w:tcW w:type="dxa" w:w="1958"/>
          </w:tcPr>
          <w:p>
            <w:pPr>
              <w:jc w:val="center"/>
            </w:pPr>
            <w:r/>
            <w:r>
              <w:rPr>
                <w:b w:val="0"/>
                <w:color w:val="000000"/>
                <w:sz w:val="16"/>
              </w:rPr>
              <w:t>Agosto 2026</w:t>
            </w:r>
          </w:p>
        </w:tc>
        <w:tc>
          <w:tcPr>
            <w:tcW w:type="dxa" w:w="1958"/>
          </w:tcPr>
          <w:p>
            <w:pPr>
              <w:jc w:val="center"/>
            </w:pPr>
            <w:r/>
            <w:r>
              <w:rPr>
                <w:b w:val="0"/>
                <w:color w:val="000000"/>
                <w:sz w:val="16"/>
              </w:rPr>
              <w:t>101360</w:t>
            </w:r>
          </w:p>
        </w:tc>
        <w:tc>
          <w:tcPr>
            <w:tcW w:type="dxa" w:w="1958"/>
          </w:tcPr>
          <w:p>
            <w:pPr>
              <w:jc w:val="center"/>
            </w:pPr>
            <w:r/>
            <w:r>
              <w:rPr>
                <w:b w:val="0"/>
                <w:color w:val="000000"/>
                <w:sz w:val="16"/>
              </w:rPr>
              <w:t>108987</w:t>
            </w:r>
          </w:p>
        </w:tc>
        <w:tc>
          <w:tcPr>
            <w:tcW w:type="dxa" w:w="1958"/>
          </w:tcPr>
          <w:p>
            <w:pPr>
              <w:jc w:val="center"/>
            </w:pPr>
            <w:r/>
            <w:r>
              <w:rPr>
                <w:b w:val="0"/>
                <w:color w:val="000000"/>
                <w:sz w:val="16"/>
              </w:rPr>
              <w:t>7.627</w:t>
            </w:r>
          </w:p>
        </w:tc>
        <w:tc>
          <w:tcPr>
            <w:tcW w:type="dxa" w:w="1958"/>
          </w:tcPr>
          <w:p>
            <w:pPr>
              <w:jc w:val="center"/>
            </w:pPr>
            <w:r/>
            <w:r>
              <w:rPr>
                <w:b w:val="0"/>
                <w:color w:val="000000"/>
                <w:sz w:val="16"/>
              </w:rPr>
              <w:t>1467321</w:t>
            </w:r>
          </w:p>
        </w:tc>
      </w:tr>
      <w:tr>
        <w:tc>
          <w:tcPr>
            <w:tcW w:type="dxa" w:w="1958"/>
          </w:tcPr>
          <w:p>
            <w:pPr>
              <w:jc w:val="center"/>
            </w:pPr>
            <w:r/>
            <w:r>
              <w:rPr>
                <w:b w:val="0"/>
                <w:color w:val="000000"/>
                <w:sz w:val="16"/>
              </w:rPr>
              <w:t>Septiembre 2026</w:t>
            </w:r>
          </w:p>
        </w:tc>
        <w:tc>
          <w:tcPr>
            <w:tcW w:type="dxa" w:w="1958"/>
          </w:tcPr>
          <w:p>
            <w:pPr>
              <w:jc w:val="center"/>
            </w:pPr>
            <w:r/>
            <w:r>
              <w:rPr>
                <w:b w:val="0"/>
                <w:color w:val="000000"/>
                <w:sz w:val="16"/>
              </w:rPr>
              <w:t>108987</w:t>
            </w:r>
          </w:p>
        </w:tc>
        <w:tc>
          <w:tcPr>
            <w:tcW w:type="dxa" w:w="1958"/>
          </w:tcPr>
          <w:p>
            <w:pPr>
              <w:jc w:val="center"/>
            </w:pPr>
            <w:r/>
            <w:r>
              <w:rPr>
                <w:b w:val="0"/>
                <w:color w:val="000000"/>
                <w:sz w:val="16"/>
              </w:rPr>
              <w:t>111860</w:t>
            </w:r>
          </w:p>
        </w:tc>
        <w:tc>
          <w:tcPr>
            <w:tcW w:type="dxa" w:w="1958"/>
          </w:tcPr>
          <w:p>
            <w:pPr>
              <w:jc w:val="center"/>
            </w:pPr>
            <w:r/>
            <w:r>
              <w:rPr>
                <w:b w:val="0"/>
                <w:color w:val="000000"/>
                <w:sz w:val="16"/>
              </w:rPr>
              <w:t>2.873</w:t>
            </w:r>
          </w:p>
        </w:tc>
        <w:tc>
          <w:tcPr>
            <w:tcW w:type="dxa" w:w="1958"/>
          </w:tcPr>
          <w:p>
            <w:pPr>
              <w:jc w:val="center"/>
            </w:pPr>
            <w:r/>
            <w:r>
              <w:rPr>
                <w:b w:val="0"/>
                <w:color w:val="000000"/>
                <w:sz w:val="16"/>
              </w:rPr>
              <w:t>1474021</w:t>
            </w:r>
          </w:p>
        </w:tc>
      </w:tr>
    </w:tbl>
    <w:p>
      <w:pPr>
        <w:spacing w:after="120"/>
      </w:pPr>
    </w:p>
    <w:p>
      <w:pPr>
        <w:spacing w:after="120" w:before="0"/>
        <w:jc w:val="both"/>
      </w:pPr>
      <w:r>
        <w:rPr>
          <w:b w:val="0"/>
          <w:color w:val="000000"/>
          <w:sz w:val="20"/>
        </w:rPr>
        <w:t>No hay cambio de medidor, m³ por abonar en la factura siguiente ni lectura estimada: el salto de volumen está en el medidor. Tarifa publicada (El Mercurio de Antofagasta, 15-11-2025) implica del orden de $2.769 CLP/m³ con IVA (agua + alcantarillado + tratamiento + cargo fijo prorrateado).</w:t>
      </w:r>
    </w:p>
    <w:p>
      <w:r>
        <w:br w:type="page"/>
      </w:r>
    </w:p>
    <w:p>
      <w:pPr>
        <w:spacing w:before="160" w:after="120"/>
        <w:jc w:val="left"/>
      </w:pPr>
      <w:r>
        <w:rPr>
          <w:b/>
          <w:color w:val="003366"/>
          <w:sz w:val="28"/>
        </w:rPr>
        <w:t>VII. Conclusiones y hallazgos</w:t>
      </w:r>
    </w:p>
    <w:p>
      <w:pPr>
        <w:pStyle w:val="ListBullet"/>
        <w:spacing w:after="120" w:before="0"/>
        <w:jc w:val="both"/>
      </w:pPr>
      <w:r>
        <w:rPr>
          <w:b w:val="0"/>
          <w:color w:val="000000"/>
          <w:sz w:val="20"/>
        </w:rPr>
        <w:t>1) Periodo WES 23/07/2026–11/10/2026: Sanitaria 6.772,3 m³ (83,6 m³/día).</w:t>
      </w:r>
    </w:p>
    <w:p>
      <w:pPr>
        <w:pStyle w:val="ListBullet"/>
        <w:spacing w:after="120" w:before="0"/>
        <w:jc w:val="both"/>
      </w:pPr>
      <w:r>
        <w:rPr>
          <w:b w:val="0"/>
          <w:color w:val="000000"/>
          <w:sz w:val="20"/>
        </w:rPr>
        <w:t>2) Principal + Sexto = 50,5% de Sanitaria; brecha no monitoreada = 49,5% (3.354,7 m³).</w:t>
      </w:r>
    </w:p>
    <w:p>
      <w:pPr>
        <w:pStyle w:val="ListBullet"/>
        <w:spacing w:after="120" w:before="0"/>
        <w:jc w:val="both"/>
      </w:pPr>
      <w:r>
        <w:rPr>
          <w:b w:val="0"/>
          <w:color w:val="000000"/>
          <w:sz w:val="20"/>
        </w:rPr>
        <w:t>3) Sexto Piso: único hueco de data 14–17/08/2026 (asociado a lluvias / conectividad). Sanitaria y Principal sin huecos en el periodo.</w:t>
      </w:r>
    </w:p>
    <w:p>
      <w:pPr>
        <w:pStyle w:val="ListBullet"/>
        <w:spacing w:after="120" w:before="0"/>
        <w:jc w:val="both"/>
      </w:pPr>
      <w:r>
        <w:rPr>
          <w:b w:val="0"/>
          <w:color w:val="000000"/>
          <w:sz w:val="20"/>
        </w:rPr>
        <w:t>4) Sala N°2 queda fuera del balance cuantitativo hasta validación/recalibración.</w:t>
      </w:r>
    </w:p>
    <w:p>
      <w:pPr>
        <w:pStyle w:val="ListBullet"/>
        <w:spacing w:after="120" w:before="0"/>
        <w:jc w:val="both"/>
      </w:pPr>
      <w:r>
        <w:rPr>
          <w:b w:val="0"/>
          <w:color w:val="000000"/>
          <w:sz w:val="20"/>
        </w:rPr>
        <w:t>5) Facturación jun–sep 2026: 24.298 m³ / $67.273.160 (4 ciclos Aguas Antofagasta, lecturas encadenadas).</w:t>
      </w:r>
    </w:p>
    <w:p>
      <w:pPr>
        <w:spacing w:before="160" w:after="120"/>
        <w:jc w:val="left"/>
      </w:pPr>
      <w:r>
        <w:rPr>
          <w:b/>
          <w:color w:val="003366"/>
          <w:sz w:val="28"/>
        </w:rPr>
        <w:t>VIII. Recomendaciones y próximos pasos</w:t>
      </w:r>
    </w:p>
    <w:p>
      <w:pPr>
        <w:pStyle w:val="ListBullet"/>
        <w:spacing w:after="120" w:before="0"/>
        <w:jc w:val="both"/>
      </w:pPr>
      <w:r>
        <w:rPr>
          <w:b w:val="0"/>
          <w:color w:val="000000"/>
          <w:sz w:val="20"/>
        </w:rPr>
        <w:t>Acción 1 — Cerrar brecha de visibilidad: priorizar instrumentación de tramos no medidos y resolver el estado de Sala N°2.</w:t>
      </w:r>
    </w:p>
    <w:p>
      <w:pPr>
        <w:pStyle w:val="ListBullet"/>
        <w:spacing w:after="120" w:before="0"/>
        <w:jc w:val="both"/>
      </w:pPr>
      <w:r>
        <w:rPr>
          <w:b w:val="0"/>
          <w:color w:val="000000"/>
          <w:sz w:val="20"/>
        </w:rPr>
        <w:t>Acción 2 — Control en horarios inhábiles: evaluar Control Inteligente WES donde el consumo nocturno/fin de semana no se justifique operativamente.</w:t>
      </w:r>
    </w:p>
    <w:p>
      <w:pPr>
        <w:pStyle w:val="ListBullet"/>
        <w:spacing w:after="120" w:before="0"/>
        <w:jc w:val="both"/>
      </w:pPr>
      <w:r>
        <w:rPr>
          <w:b w:val="0"/>
          <w:color w:val="000000"/>
          <w:sz w:val="20"/>
        </w:rPr>
        <w:t>Acción 3 — Contraste factura vs WES: al cierre de cada ciclo de Aguas Antofagasta, comparar m³ boleta (medidor 534) con Sanitaria WES y documentar diferencias.</w:t>
      </w:r>
    </w:p>
    <w:p>
      <w:pPr>
        <w:pStyle w:val="ListBullet"/>
        <w:spacing w:after="120" w:before="0"/>
        <w:jc w:val="both"/>
      </w:pPr>
      <w:r>
        <w:rPr>
          <w:b w:val="0"/>
          <w:color w:val="000000"/>
          <w:sz w:val="20"/>
        </w:rPr>
        <w:t>Acción 4 — Mantener usuarios BUPA activos en la App y revisión periódica de alertas con el equipo de infraestructura.</w:t>
      </w:r>
    </w:p>
    <w:p>
      <w:pPr>
        <w:spacing w:after="120" w:before="360"/>
        <w:jc w:val="center"/>
      </w:pPr>
      <w:r>
        <w:rPr>
          <w:b w:val="0"/>
          <w:color w:val="000000"/>
          <w:sz w:val="16"/>
        </w:rPr>
        <w:t>Documento generado 20/10/2026 19:13 · WES · Clínica Bupa Antofagasta</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