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0"/>
        </w:rPr>
        <w:t>Matriz (campo/app) y Estanque Inferior — ¿conversan?</w:t>
      </w:r>
    </w:p>
    <w:p>
      <w:pPr>
        <w:jc w:val="center"/>
      </w:pPr>
      <w:r>
        <w:rPr>
          <w:color w:val="595959"/>
          <w:sz w:val="20"/>
        </w:rPr>
        <w:t>Corrección de marco · Fundo Zapallar · no se espera igualdad con la boleta ESVAL</w:t>
      </w:r>
    </w:p>
    <w:p>
      <w:r>
        <w:rPr>
          <w:sz w:val="20"/>
        </w:rPr>
        <w:t>Crítica válida: Matriz y Estanque Inferior nunca van a calzar igual — hay tubería y distancia en el camino. Lo esperable es que se *parezcan*. La boleta ESVAL (delta turbina) es otra comparación: ahí el desfase post-marzo sigue abierto, pero no es el test de si los dos puntos WES conversan.</w:t>
        <w:br/>
        <w:br/>
        <w:t>Criterio “se parecen”: |Inf − Matriz| / Matriz ≤ 15 % (misma orden de magnitud / mismo perfil). Mar–Abr = transición (cambio de medidor); no calibrar.</w:t>
      </w:r>
    </w:p>
    <w:p>
      <w:pPr>
        <w:jc w:val="center"/>
      </w:pPr>
      <w:r>
        <w:rPr>
          <w:b/>
          <w:color w:val="006400"/>
          <w:sz w:val="24"/>
        </w:rPr>
        <w:t>VEREDICTO: SÍ conversan. Validación terreno Inferior = 86 % de Matriz App. May–Ago agregado Inf/Mat = -6.5 %.</w:t>
      </w:r>
    </w:p>
    <w:p>
      <w:r>
        <w:rPr>
          <w:b/>
          <w:color w:val="1F4E79"/>
          <w:sz w:val="24"/>
        </w:rPr>
        <w:t>1) Validación de terreno (misma ventana Matriz 22–23/09/2026)</w:t>
      </w:r>
    </w:p>
    <w:p>
      <w:r>
        <w:rPr>
          <w:sz w:val="20"/>
        </w:rPr>
        <w:t>Ventana B Chile: 2026-09-22 15:00 → 2026-09-23 17:00 (22-09 h16-23 + 23-09 h00-16).</w:t>
        <w:br/>
        <w:t>· Matriz App: 175,41 m³</w:t>
        <w:br/>
        <w:t>· Matriz Itron (terreno): 170,89 m³ (dif. vs App -2.6 %)</w:t>
        <w:br/>
        <w:t>· Estanque Inferior (misma ventana): 150,8 m³ = 86 % de Matriz App (Δ 24.6 m³ hacia abajo — coherente con pérdida / volumen en tubería y llenado).</w:t>
        <w:br/>
        <w:t>App ≈ Itron y ambos conversan con Inferior en la misma ventana.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2084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validacion_matriz_itron_inferi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208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4E79"/>
          <w:sz w:val="24"/>
        </w:rPr>
        <w:t>2) Ciclos de boleta desde marzo — foco Matriz vs Inferior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Mes</w:t>
            </w:r>
          </w:p>
        </w:tc>
        <w:tc>
          <w:tcPr>
            <w:tcW w:type="dxa" w:w="1824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Ciclo</w:t>
            </w:r>
          </w:p>
        </w:tc>
        <w:tc>
          <w:tcPr>
            <w:tcW w:type="dxa" w:w="1824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Matriz WES</w:t>
            </w:r>
          </w:p>
        </w:tc>
        <w:tc>
          <w:tcPr>
            <w:tcW w:type="dxa" w:w="1824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Estanque Inf.</w:t>
            </w:r>
          </w:p>
        </w:tc>
        <w:tc>
          <w:tcPr>
            <w:tcW w:type="dxa" w:w="1824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Dif % Inf/Mat</w:t>
            </w:r>
          </w:p>
        </w:tc>
        <w:tc>
          <w:tcPr>
            <w:tcW w:type="dxa" w:w="1824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¿Se parecen?</w:t>
            </w:r>
          </w:p>
        </w:tc>
        <w:tc>
          <w:tcPr>
            <w:tcW w:type="dxa" w:w="1824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Cuenta ESVAL (ref.)</w:t>
            </w:r>
          </w:p>
        </w:tc>
        <w:tc>
          <w:tcPr>
            <w:tcW w:type="dxa" w:w="1824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Nota boleta</w:t>
            </w:r>
          </w:p>
        </w:tc>
      </w:tr>
      <w:tr>
        <w:tc>
          <w:tcPr>
            <w:tcW w:type="dxa" w:w="1824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Mar-26</w:t>
            </w:r>
          </w:p>
        </w:tc>
        <w:tc>
          <w:tcPr>
            <w:tcW w:type="dxa" w:w="1824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27/02–30/03/26</w:t>
            </w:r>
          </w:p>
        </w:tc>
        <w:tc>
          <w:tcPr>
            <w:tcW w:type="dxa" w:w="1824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1.905,7</w:t>
            </w:r>
          </w:p>
        </w:tc>
        <w:tc>
          <w:tcPr>
            <w:tcW w:type="dxa" w:w="1824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12.228</w:t>
            </w:r>
          </w:p>
        </w:tc>
        <w:tc>
          <w:tcPr>
            <w:tcW w:type="dxa" w:w="1824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+541,6%</w:t>
            </w:r>
          </w:p>
        </w:tc>
        <w:tc>
          <w:tcPr>
            <w:tcW w:type="dxa" w:w="1824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transición</w:t>
            </w:r>
          </w:p>
        </w:tc>
        <w:tc>
          <w:tcPr>
            <w:tcW w:type="dxa" w:w="1824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6.793</w:t>
            </w:r>
          </w:p>
        </w:tc>
        <w:tc>
          <w:tcPr>
            <w:tcW w:type="dxa" w:w="1824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transición — no calibrar</w:t>
            </w:r>
          </w:p>
        </w:tc>
      </w:tr>
      <w:tr>
        <w:tc>
          <w:tcPr>
            <w:tcW w:type="dxa" w:w="1824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Abr-26</w:t>
            </w:r>
          </w:p>
        </w:tc>
        <w:tc>
          <w:tcPr>
            <w:tcW w:type="dxa" w:w="1824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30/03–29/04/26</w:t>
            </w:r>
          </w:p>
        </w:tc>
        <w:tc>
          <w:tcPr>
            <w:tcW w:type="dxa" w:w="1824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3.113,4</w:t>
            </w:r>
          </w:p>
        </w:tc>
        <w:tc>
          <w:tcPr>
            <w:tcW w:type="dxa" w:w="1824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9.172,9</w:t>
            </w:r>
          </w:p>
        </w:tc>
        <w:tc>
          <w:tcPr>
            <w:tcW w:type="dxa" w:w="1824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+194,6%</w:t>
            </w:r>
          </w:p>
        </w:tc>
        <w:tc>
          <w:tcPr>
            <w:tcW w:type="dxa" w:w="1824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transición</w:t>
            </w:r>
          </w:p>
        </w:tc>
        <w:tc>
          <w:tcPr>
            <w:tcW w:type="dxa" w:w="1824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6.034</w:t>
            </w:r>
          </w:p>
        </w:tc>
        <w:tc>
          <w:tcPr>
            <w:tcW w:type="dxa" w:w="1824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transición — no calibrar</w:t>
            </w:r>
          </w:p>
        </w:tc>
      </w:tr>
      <w:tr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May-26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29/04–29/05/26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3.332,5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3.056,1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−8,3%</w:t>
            </w:r>
          </w:p>
        </w:tc>
        <w:tc>
          <w:tcPr>
            <w:tcW w:type="dxa" w:w="1824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SI — conversan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4.566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desfase boleta (otra capa)</w:t>
            </w:r>
          </w:p>
        </w:tc>
      </w:tr>
      <w:tr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Jun-26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29/05–27/06/26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2.481,5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3.055,2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+23,1%</w:t>
            </w:r>
          </w:p>
        </w:tc>
        <w:tc>
          <w:tcPr>
            <w:tcW w:type="dxa" w:w="1824"/>
            <w:shd w:fill="FFF2C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cerca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3.707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desfase boleta (otra capa)</w:t>
            </w:r>
          </w:p>
        </w:tc>
      </w:tr>
      <w:tr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Jul-26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27/06–29/07/26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3.316,9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2.433,1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−26,6%</w:t>
            </w:r>
          </w:p>
        </w:tc>
        <w:tc>
          <w:tcPr>
            <w:tcW w:type="dxa" w:w="1824"/>
            <w:shd w:fill="F8CBAD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NO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5.067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desfase boleta (otra capa)</w:t>
            </w:r>
          </w:p>
        </w:tc>
      </w:tr>
      <w:tr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Ago-26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29/07–28/08/26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1.804,1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1.676,3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−7,1%</w:t>
            </w:r>
          </w:p>
        </w:tc>
        <w:tc>
          <w:tcPr>
            <w:tcW w:type="dxa" w:w="1824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SI — conversan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2.079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cerca</w:t>
            </w:r>
          </w:p>
        </w:tc>
      </w:tr>
    </w:tbl>
    <w:p>
      <w:r>
        <w:rPr>
          <w:sz w:val="20"/>
        </w:rPr>
        <w:t>May–Ago (sin transición): Matriz 10.935 m³ · Inferior 10.221 m³ · Inf/Mat -6.5 % → se parecen. Misma ventana vs boleta ESVAL: Matriz queda -29.1 % bajo la turbina (esa brecha es otro problema; no invalida que Matriz e Inferior conversen). Jun y Jul tienen más ruido (huecos horarios en Inferior); May y Ago quedan dentro de ±15 %.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0" cy="35507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triz_vs_inferior_desde_marz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550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0"/>
        </w:rPr>
        <w:t>Conclusión: el informe anterior midió mal al exigir que Inferior “rescate” la boleta. Con el marco correcto — parecerse, no igualar — Matriz (campo/app) y Estanque Inferior sí conversan. La distancia residual es esperable por la tubería. El desfase cuenta ESVAL vs WES post-marzo sigue siendo una capa aparte (turbina vs ultrasonido).</w:t>
      </w:r>
    </w:p>
    <w:sectPr w:rsidR="00FC693F" w:rsidRPr="0006063C" w:rsidSect="00034616">
      <w:pgSz w:w="15840" w:h="12240" w:orient="landscape"/>
      <w:pgMar w:top="680" w:right="624" w:bottom="68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