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40" w:before="0" w:line="24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3366"/>
          <w:sz w:val="36"/>
          <w:szCs w:val="36"/>
          <w:rtl w:val="0"/>
        </w:rPr>
        <w:t xml:space="preserve">PROPUESTA DE MONITOREO HÍDRICO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40" w:before="0" w:line="24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3366"/>
          <w:sz w:val="32"/>
          <w:szCs w:val="32"/>
          <w:rtl w:val="0"/>
        </w:rPr>
        <w:t xml:space="preserve">Weir Minerals Chile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00" w:before="0" w:line="24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color w:val="000000"/>
          <w:sz w:val="24"/>
          <w:szCs w:val="24"/>
          <w:rtl w:val="0"/>
        </w:rPr>
        <w:t xml:space="preserve">Av. San José 0815, San Bernardo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1"/>
        <w:spacing w:after="120" w:befor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3366"/>
          <w:sz w:val="26"/>
          <w:szCs w:val="26"/>
          <w:rtl w:val="0"/>
        </w:rPr>
        <w:t xml:space="preserve">1. UBICACIÓN DE LA EMPRESA</w:t>
      </w:r>
      <w:r w:rsidDel="00000000" w:rsidR="00000000" w:rsidRPr="00000000">
        <w:rPr>
          <w:rtl w:val="0"/>
        </w:rPr>
      </w:r>
    </w:p>
    <w:tbl>
      <w:tblPr>
        <w:tblStyle w:val="Table1"/>
        <w:tblW w:w="9866.0" w:type="dxa"/>
        <w:jc w:val="left"/>
        <w:tblInd w:w="-115.0" w:type="dxa"/>
        <w:tblLayout w:type="fixed"/>
        <w:tblLook w:val="0400"/>
      </w:tblPr>
      <w:tblGrid>
        <w:gridCol w:w="4933"/>
        <w:gridCol w:w="4933"/>
        <w:tblGridChange w:id="0">
          <w:tblGrid>
            <w:gridCol w:w="4933"/>
            <w:gridCol w:w="4933"/>
          </w:tblGrid>
        </w:tblGridChange>
      </w:tblGrid>
      <w:tr>
        <w:trPr>
          <w:cantSplit w:val="0"/>
          <w:tblHeader w:val="0"/>
        </w:trPr>
        <w:tc>
          <w:tcPr>
            <w:shd w:fill="e8eef6" w:val="clear"/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3366"/>
                <w:sz w:val="20"/>
                <w:szCs w:val="20"/>
                <w:rtl w:val="0"/>
              </w:rPr>
              <w:t xml:space="preserve">Empresa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Weir Minerals Chile (Vulco S.A.)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8eef6" w:val="clea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3366"/>
                <w:sz w:val="20"/>
                <w:szCs w:val="20"/>
                <w:rtl w:val="0"/>
              </w:rPr>
              <w:t xml:space="preserve">Dirección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c" w:val="clea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Av. San José 0815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8eef6" w:val="clea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3366"/>
                <w:sz w:val="20"/>
                <w:szCs w:val="20"/>
                <w:rtl w:val="0"/>
              </w:rPr>
              <w:t xml:space="preserve">Comuna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San Bernardo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8eef6" w:val="clear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3366"/>
                <w:sz w:val="20"/>
                <w:szCs w:val="20"/>
                <w:rtl w:val="0"/>
              </w:rPr>
              <w:t xml:space="preserve">Región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c" w:val="clear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Metropolitana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8eef6" w:val="clear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3366"/>
                <w:sz w:val="20"/>
                <w:szCs w:val="20"/>
                <w:rtl w:val="0"/>
              </w:rPr>
              <w:t xml:space="preserve">País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Chile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0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1"/>
        <w:spacing w:after="12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40" w:before="40" w:lineRule="auto"/>
        <w:jc w:val="center"/>
        <w:rPr/>
      </w:pPr>
      <w:r w:rsidDel="00000000" w:rsidR="00000000" w:rsidRPr="00000000">
        <w:rPr/>
        <w:drawing>
          <wp:inline distB="0" distT="0" distL="114300" distR="114300">
            <wp:extent cx="4269176" cy="2592000"/>
            <wp:effectExtent b="0" l="0" r="0" t="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69176" cy="2592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60" w:lineRule="auto"/>
        <w:jc w:val="center"/>
        <w:rPr>
          <w:rFonts w:ascii="Calibri" w:cs="Calibri" w:eastAsia="Calibri" w:hAnsi="Calibri"/>
          <w:b w:val="0"/>
          <w:bCs w:val="0"/>
          <w:color w:val="505050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color w:val="505050"/>
          <w:sz w:val="18"/>
          <w:szCs w:val="18"/>
          <w:rtl w:val="0"/>
        </w:rPr>
        <w:t xml:space="preserve">Vista satelital — Weir, Baquedano 1215, San Bernardo.</w:t>
      </w:r>
    </w:p>
    <w:p w:rsidR="00000000" w:rsidDel="00000000" w:rsidP="00000000" w:rsidRDefault="00000000" w:rsidRPr="00000000" w14:paraId="00000014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1"/>
        <w:spacing w:after="120" w:before="240" w:lineRule="auto"/>
        <w:rPr>
          <w:color w:val="505050"/>
          <w:sz w:val="18"/>
          <w:szCs w:val="18"/>
        </w:rPr>
      </w:pPr>
      <w:r w:rsidDel="00000000" w:rsidR="00000000" w:rsidRPr="00000000">
        <w:rPr>
          <w:b w:val="1"/>
          <w:bCs w:val="1"/>
          <w:color w:val="003366"/>
          <w:sz w:val="26"/>
          <w:szCs w:val="26"/>
          <w:rtl w:val="0"/>
        </w:rPr>
        <w:t xml:space="preserve">2. PUNTO 1 — BAQUEDANO 1215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40" w:before="120" w:lineRule="auto"/>
        <w:jc w:val="center"/>
        <w:rPr/>
      </w:pPr>
      <w:r w:rsidDel="00000000" w:rsidR="00000000" w:rsidRPr="00000000">
        <w:rPr/>
        <w:drawing>
          <wp:inline distB="0" distT="0" distL="114300" distR="114300">
            <wp:extent cx="1998000" cy="2664000"/>
            <wp:effectExtent b="0" l="0" r="0" t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998000" cy="2664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20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color w:val="505050"/>
          <w:sz w:val="18"/>
          <w:szCs w:val="18"/>
          <w:rtl w:val="0"/>
        </w:rPr>
        <w:t xml:space="preserve">Foto 1. Medidor en Baquedano 1215.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before="0" w:line="24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4"/>
          <w:szCs w:val="24"/>
          <w:rtl w:val="0"/>
        </w:rPr>
        <w:t xml:space="preserve">Datos técnicos – Línea A</w:t>
      </w:r>
      <w:r w:rsidDel="00000000" w:rsidR="00000000" w:rsidRPr="00000000">
        <w:rPr>
          <w:rtl w:val="0"/>
        </w:rPr>
      </w:r>
    </w:p>
    <w:tbl>
      <w:tblPr>
        <w:tblStyle w:val="Table2"/>
        <w:tblW w:w="9867.0" w:type="dxa"/>
        <w:jc w:val="left"/>
        <w:tblInd w:w="-115.0" w:type="dxa"/>
        <w:tblBorders>
          <w:top w:color="003366" w:space="0" w:sz="12" w:val="single"/>
          <w:left w:color="003366" w:space="0" w:sz="12" w:val="single"/>
          <w:bottom w:color="003366" w:space="0" w:sz="12" w:val="single"/>
          <w:right w:color="003366" w:space="0" w:sz="12" w:val="single"/>
          <w:insideH w:color="d0d7e2" w:space="0" w:sz="6" w:val="single"/>
          <w:insideV w:color="d0d7e2" w:space="0" w:sz="6" w:val="single"/>
        </w:tblBorders>
        <w:tblLayout w:type="fixed"/>
        <w:tblLook w:val="0400"/>
      </w:tblPr>
      <w:tblGrid>
        <w:gridCol w:w="3289"/>
        <w:gridCol w:w="3289"/>
        <w:gridCol w:w="3289"/>
        <w:tblGridChange w:id="0">
          <w:tblGrid>
            <w:gridCol w:w="3289"/>
            <w:gridCol w:w="3289"/>
            <w:gridCol w:w="328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3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Diámetro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4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1 1/2 pulgada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6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Actividad hídrica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7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Abastecimiento camión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9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Remarcado cliente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A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B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No existe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C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Material de la matriz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D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PVC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F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Factibilidad eléctrica 220 V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0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1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35 mt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2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Canalización de señal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3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4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No aplica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5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Canalización sensores ultrasonido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6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7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2 × 5 mt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8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Señal M2M 3G, 4G, 5G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Buena señal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tl w:val="0"/>
        </w:rPr>
      </w:r>
    </w:p>
    <w:p>
      <w:pPr>
        <w:spacing w:before="160"/>
        <w:jc w:val="center"/>
      </w:pPr>
      <w:r>
        <w:drawing>
          <wp:inline>
            <wp:extent cx="4031999" cy="537599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dor_linea_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31999" cy="5375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color w:val="505050"/>
          <w:sz w:val="18"/>
        </w:rPr>
        <w:t>Foto 2. Misma toma. Círculo en la tubería de la derecha: Línea B.</w:t>
      </w:r>
    </w:p>
    <w:p w:rsidR="00000000" w:rsidDel="00000000" w:rsidP="00000000" w:rsidRDefault="00000000" w:rsidRPr="00000000" w14:paraId="0000003C">
      <w:pPr>
        <w:spacing w:after="120" w:before="0" w:line="24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4"/>
          <w:szCs w:val="24"/>
          <w:rtl w:val="0"/>
        </w:rPr>
        <w:t xml:space="preserve">Datos técnicos – Línea B</w:t>
      </w:r>
      <w:r w:rsidDel="00000000" w:rsidR="00000000" w:rsidRPr="00000000">
        <w:rPr>
          <w:rtl w:val="0"/>
        </w:rPr>
      </w:r>
    </w:p>
    <w:tbl>
      <w:tblPr>
        <w:tblStyle w:val="Table3"/>
        <w:tblW w:w="9867.0" w:type="dxa"/>
        <w:jc w:val="left"/>
        <w:tblInd w:w="-115.0" w:type="dxa"/>
        <w:tblBorders>
          <w:top w:color="003366" w:space="0" w:sz="12" w:val="single"/>
          <w:left w:color="003366" w:space="0" w:sz="12" w:val="single"/>
          <w:bottom w:color="003366" w:space="0" w:sz="12" w:val="single"/>
          <w:right w:color="003366" w:space="0" w:sz="12" w:val="single"/>
          <w:insideH w:color="d0d7e2" w:space="0" w:sz="6" w:val="single"/>
          <w:insideV w:color="d0d7e2" w:space="0" w:sz="6" w:val="single"/>
        </w:tblBorders>
        <w:tblLayout w:type="fixed"/>
        <w:tblLook w:val="0400"/>
      </w:tblPr>
      <w:tblGrid>
        <w:gridCol w:w="3289"/>
        <w:gridCol w:w="3289"/>
        <w:gridCol w:w="3289"/>
        <w:tblGridChange w:id="0">
          <w:tblGrid>
            <w:gridCol w:w="3289"/>
            <w:gridCol w:w="3289"/>
            <w:gridCol w:w="3289"/>
          </w:tblGrid>
        </w:tblGridChange>
      </w:tblGrid>
      <w:tr>
        <w:trPr>
          <w:cantSplit w:val="0"/>
          <w:tblHeader w:val="0"/>
        </w:trPr>
        <w:tc>
          <w:tcPr/>
          <w:p>
            <w:r/>
            <w:r>
              <w:rPr>
                <w:rFonts w:ascii="Calibri" w:hAnsi="Calibri"/>
                <w:b/>
                <w:sz w:val="22"/>
              </w:rPr>
              <w:t>Diámetro</w:t>
            </w:r>
          </w:p>
        </w:tc>
        <w:tc>
          <w:tcPr/>
          <w:p>
            <w:r/>
            <w:r>
              <w:rPr>
                <w:rFonts w:ascii="Calibri" w:hAnsi="Calibri"/>
                <w:b/>
                <w:sz w:val="22"/>
              </w:rPr>
              <w:t>:</w:t>
            </w:r>
          </w:p>
        </w:tc>
        <w:tc>
          <w:tcPr/>
          <w:p>
            <w:r/>
            <w:r>
              <w:rPr>
                <w:rFonts w:ascii="Calibri" w:hAnsi="Calibri"/>
                <w:b w:val="0"/>
                <w:sz w:val="22"/>
              </w:rPr>
              <w:t>2 1/2 pulgada</w:t>
            </w:r>
          </w:p>
        </w:tc>
      </w:tr>
      <w:tr>
        <w:trPr>
          <w:cantSplit w:val="0"/>
          <w:tblHeader w:val="0"/>
        </w:trPr>
        <w:tc>
          <w:tcPr/>
          <w:p>
            <w:r/>
            <w:r>
              <w:rPr>
                <w:rFonts w:ascii="Calibri" w:hAnsi="Calibri"/>
                <w:b/>
                <w:sz w:val="22"/>
              </w:rPr>
              <w:t>Actividad hídrica</w:t>
            </w:r>
          </w:p>
        </w:tc>
        <w:tc>
          <w:tcPr/>
          <w:p>
            <w:r/>
            <w:r>
              <w:rPr>
                <w:rFonts w:ascii="Calibri" w:hAnsi="Calibri"/>
                <w:b/>
                <w:sz w:val="22"/>
              </w:rPr>
              <w:t>:</w:t>
            </w:r>
          </w:p>
        </w:tc>
        <w:tc>
          <w:tcPr/>
          <w:p>
            <w:r/>
            <w:r>
              <w:rPr>
                <w:rFonts w:ascii="Calibri" w:hAnsi="Calibri"/>
                <w:b w:val="0"/>
                <w:sz w:val="22"/>
              </w:rPr>
              <w:t>Alimentación baños sector logística</w:t>
            </w:r>
          </w:p>
        </w:tc>
      </w:tr>
      <w:tr>
        <w:trPr>
          <w:cantSplit w:val="0"/>
          <w:tblHeader w:val="0"/>
        </w:trPr>
        <w:tc>
          <w:tcPr/>
          <w:p>
            <w:r/>
            <w:r>
              <w:rPr>
                <w:rFonts w:ascii="Calibri" w:hAnsi="Calibri"/>
                <w:b/>
                <w:sz w:val="22"/>
              </w:rPr>
              <w:t>Remarcado cliente</w:t>
            </w:r>
          </w:p>
        </w:tc>
        <w:tc>
          <w:tcPr/>
          <w:p>
            <w:r/>
            <w:r>
              <w:rPr>
                <w:rFonts w:ascii="Calibri" w:hAnsi="Calibri"/>
                <w:b/>
                <w:sz w:val="22"/>
              </w:rPr>
              <w:t>:</w:t>
            </w:r>
          </w:p>
        </w:tc>
        <w:tc>
          <w:tcPr/>
          <w:p>
            <w:r/>
            <w:r>
              <w:rPr>
                <w:rFonts w:ascii="Calibri" w:hAnsi="Calibri"/>
                <w:b w:val="0"/>
                <w:sz w:val="22"/>
              </w:rPr>
              <w:t>No existe</w:t>
            </w:r>
          </w:p>
        </w:tc>
      </w:tr>
      <w:tr>
        <w:trPr>
          <w:cantSplit w:val="0"/>
          <w:tblHeader w:val="0"/>
        </w:trPr>
        <w:tc>
          <w:tcPr/>
          <w:p>
            <w:r/>
            <w:r>
              <w:rPr>
                <w:rFonts w:ascii="Calibri" w:hAnsi="Calibri"/>
                <w:b/>
                <w:sz w:val="22"/>
              </w:rPr>
              <w:t>Material de la matriz</w:t>
            </w:r>
          </w:p>
        </w:tc>
        <w:tc>
          <w:tcPr/>
          <w:p>
            <w:r/>
            <w:r>
              <w:rPr>
                <w:rFonts w:ascii="Calibri" w:hAnsi="Calibri"/>
                <w:b/>
                <w:sz w:val="22"/>
              </w:rPr>
              <w:t>:</w:t>
            </w:r>
          </w:p>
        </w:tc>
        <w:tc>
          <w:tcPr/>
          <w:p>
            <w:r/>
            <w:r>
              <w:rPr>
                <w:rFonts w:ascii="Calibri" w:hAnsi="Calibri"/>
                <w:b w:val="0"/>
                <w:sz w:val="22"/>
              </w:rPr>
              <w:t>PVC</w:t>
            </w:r>
          </w:p>
        </w:tc>
      </w:tr>
      <w:tr>
        <w:trPr>
          <w:cantSplit w:val="0"/>
          <w:tblHeader w:val="0"/>
        </w:trPr>
        <w:tc>
          <w:tcPr/>
          <w:p>
            <w:r/>
            <w:r>
              <w:rPr>
                <w:rFonts w:ascii="Calibri" w:hAnsi="Calibri"/>
                <w:b/>
                <w:sz w:val="22"/>
              </w:rPr>
              <w:t>Factibilidad eléctrica 220 V</w:t>
            </w:r>
          </w:p>
        </w:tc>
        <w:tc>
          <w:tcPr/>
          <w:p>
            <w:r/>
            <w:r>
              <w:rPr>
                <w:rFonts w:ascii="Calibri" w:hAnsi="Calibri"/>
                <w:b/>
                <w:sz w:val="22"/>
              </w:rPr>
              <w:t>:</w:t>
            </w:r>
          </w:p>
        </w:tc>
        <w:tc>
          <w:tcPr/>
          <w:p>
            <w:r/>
            <w:r>
              <w:rPr>
                <w:rFonts w:ascii="Calibri" w:hAnsi="Calibri"/>
                <w:b w:val="0"/>
                <w:sz w:val="22"/>
              </w:rPr>
              <w:t>35 mt</w:t>
            </w:r>
          </w:p>
        </w:tc>
      </w:tr>
      <w:tr>
        <w:trPr>
          <w:cantSplit w:val="0"/>
          <w:tblHeader w:val="0"/>
        </w:trPr>
        <w:tc>
          <w:tcPr/>
          <w:p>
            <w:r/>
            <w:r>
              <w:rPr>
                <w:rFonts w:ascii="Calibri" w:hAnsi="Calibri"/>
                <w:b/>
                <w:sz w:val="22"/>
              </w:rPr>
              <w:t>Canalización de señal</w:t>
            </w:r>
          </w:p>
        </w:tc>
        <w:tc>
          <w:tcPr/>
          <w:p>
            <w:r/>
            <w:r>
              <w:rPr>
                <w:rFonts w:ascii="Calibri" w:hAnsi="Calibri"/>
                <w:b/>
                <w:sz w:val="22"/>
              </w:rPr>
              <w:t>:</w:t>
            </w:r>
          </w:p>
        </w:tc>
        <w:tc>
          <w:tcPr/>
          <w:p>
            <w:r/>
            <w:r>
              <w:rPr>
                <w:rFonts w:ascii="Calibri" w:hAnsi="Calibri"/>
                <w:b w:val="0"/>
                <w:sz w:val="22"/>
              </w:rPr>
              <w:t>No aplica</w:t>
            </w:r>
          </w:p>
        </w:tc>
      </w:tr>
      <w:tr>
        <w:trPr>
          <w:cantSplit w:val="0"/>
          <w:tblHeader w:val="0"/>
        </w:trPr>
        <w:tc>
          <w:tcPr/>
          <w:p>
            <w:r/>
            <w:r>
              <w:rPr>
                <w:rFonts w:ascii="Calibri" w:hAnsi="Calibri"/>
                <w:b/>
                <w:sz w:val="22"/>
              </w:rPr>
              <w:t>Canalización sensores ultrasonido</w:t>
            </w:r>
          </w:p>
        </w:tc>
        <w:tc>
          <w:tcPr/>
          <w:p>
            <w:r/>
            <w:r>
              <w:rPr>
                <w:rFonts w:ascii="Calibri" w:hAnsi="Calibri"/>
                <w:b/>
                <w:sz w:val="22"/>
              </w:rPr>
              <w:t>:</w:t>
            </w:r>
          </w:p>
        </w:tc>
        <w:tc>
          <w:tcPr/>
          <w:p>
            <w:r/>
            <w:r>
              <w:rPr>
                <w:rFonts w:ascii="Calibri" w:hAnsi="Calibri"/>
                <w:b w:val="0"/>
                <w:sz w:val="22"/>
              </w:rPr>
              <w:t>2 × 5 mt</w:t>
            </w:r>
          </w:p>
        </w:tc>
      </w:tr>
      <w:tr>
        <w:trPr>
          <w:cantSplit w:val="0"/>
          <w:tblHeader w:val="0"/>
        </w:trPr>
        <w:tc>
          <w:tcPr/>
          <w:p>
            <w:r/>
            <w:r>
              <w:rPr>
                <w:rFonts w:ascii="Calibri" w:hAnsi="Calibri"/>
                <w:b/>
                <w:sz w:val="22"/>
              </w:rPr>
              <w:t>Señal M2M 3G, 4G, 5G</w:t>
            </w:r>
          </w:p>
        </w:tc>
        <w:tc>
          <w:tcPr/>
          <w:p>
            <w:r/>
            <w:r>
              <w:rPr>
                <w:rFonts w:ascii="Calibri" w:hAnsi="Calibri"/>
                <w:b/>
                <w:sz w:val="22"/>
              </w:rPr>
              <w:t>:</w:t>
            </w:r>
          </w:p>
        </w:tc>
        <w:tc>
          <w:tcPr/>
          <w:p>
            <w:r/>
            <w:r>
              <w:rPr>
                <w:rFonts w:ascii="Calibri" w:hAnsi="Calibri"/>
                <w:b w:val="0"/>
                <w:sz w:val="22"/>
              </w:rPr>
              <w:t>Buena señal</w:t>
            </w:r>
          </w:p>
        </w:tc>
      </w:tr>
    </w:tbl>
    <w:p w:rsidR="00000000" w:rsidDel="00000000" w:rsidP="00000000" w:rsidRDefault="00000000" w:rsidRPr="00000000" w14:paraId="00000040">
      <w:pPr>
        <w:spacing w:after="120" w:lineRule="auto"/>
        <w:rPr/>
      </w:pPr>
      <w:r w:rsidDel="00000000" w:rsidR="00000000" w:rsidRPr="00000000">
        <w:rPr>
          <w:rtl w:val="0"/>
        </w:rPr>
      </w:r>
    </w:p>
    <w:p>
      <w:r>
        <w:br w:type="page"/>
      </w:r>
    </w:p>
    <w:p>
      <w:pPr>
        <w:spacing w:after="120"/>
      </w:pPr>
      <w:r>
        <w:rPr>
          <w:rFonts w:ascii="Calibri" w:hAnsi="Calibri"/>
          <w:b/>
          <w:color w:val="003366"/>
          <w:sz w:val="26"/>
        </w:rPr>
        <w:t>3. PUNTOS 3 Y 4 — TORRES DE ENFRIAMIENTO</w:t>
      </w:r>
    </w:p>
    <w:p>
      <w:pPr>
        <w:spacing w:after="120"/>
        <w:jc w:val="both"/>
      </w:pPr>
      <w:r>
        <w:rPr>
          <w:rFonts w:ascii="Calibri" w:hAnsi="Calibri"/>
          <w:sz w:val="22"/>
        </w:rPr>
        <w:t>Los puntos 3 y 4 corresponden a las torres de enfriamiento. La ubicación marcada en el mapa es 33°36'16.1"S, 70°41'21.1"W.</w:t>
      </w:r>
    </w:p>
    <w:p>
      <w:pPr>
        <w:jc w:val="center"/>
      </w:pPr>
      <w:r>
        <w:drawing>
          <wp:inline>
            <wp:extent cx="5616000" cy="340971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rres_enfriamient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409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color w:val="505050"/>
          <w:sz w:val="18"/>
        </w:rPr>
        <w:t>Vista satelital — Torres de enfriamiento. Marcador en el mismo estilo que Baquedano 1215.</w:t>
      </w:r>
    </w:p>
    <w:sectPr>
      <w:footerReference r:id="rId9" w:type="default"/>
      <w:pgSz w:h="16838" w:w="11906" w:orient="portrait"/>
      <w:pgMar w:bottom="907" w:top="907" w:left="1020" w:right="10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5a5a5a"/>
        <w:sz w:val="16"/>
        <w:szCs w:val="16"/>
        <w:u w:val="none"/>
        <w:shd w:fill="auto" w:val="clear"/>
        <w:vertAlign w:val="baseline"/>
        <w:rtl w:val="0"/>
      </w:rPr>
      <w:t xml:space="preserve">WES  ·  Propuesta de monitoreo hídrico  ·  Weir Minerals, San Bernardo  ·  </w:t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5a5a5a"/>
        <w:sz w:val="16"/>
        <w:szCs w:val="16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VC5VvJQZk/E+UsYfm8NK3mlOR+w==">CgMxLjA4AHIhMXhjaklQMlZFcy01enlrMm1WWUJJamJBNlRkVExRYndi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