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788"/>
          <w:sz w:val="32"/>
        </w:rPr>
        <w:t>INFORME TÉCNICO CORTO</w:t>
      </w:r>
    </w:p>
    <w:p>
      <w:pPr>
        <w:jc w:val="center"/>
      </w:pPr>
      <w:r>
        <w:rPr>
          <w:rFonts w:ascii="Calibri" w:hAnsi="Calibri" w:eastAsia="Calibri"/>
          <w:b/>
          <w:color w:val="1F4788"/>
          <w:sz w:val="24"/>
        </w:rPr>
        <w:t>Cambio de memoria de placa — Etapa N°5 (000027-03)</w:t>
        <w:br/>
        <w:t>Fundo Zapallar (000027)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Fecha intervención: 22/09/2026  ·  Generado: 23/09/2026 20:13 (Chile)</w:t>
      </w:r>
    </w:p>
    <w:p>
      <w:pPr>
        <w:pStyle w:val="Heading1"/>
      </w:pPr>
      <w:r>
        <w:rPr>
          <w:color w:val="1F4788"/>
        </w:rPr>
        <w:t>1. Resumen</w:t>
      </w:r>
    </w:p>
    <w:p>
      <w:r>
        <w:rPr>
          <w:rFonts w:ascii="Calibri" w:hAnsi="Calibri" w:eastAsia="Calibri"/>
          <w:b w:val="0"/>
          <w:sz w:val="22"/>
        </w:rPr>
        <w:t>En terreno se detectaron lecturas de caudal anómalas (pulsos del orden de 92 y 200 m³/h) en la matriz de Etapa N°5. Tras descartar falla del sensor y de la cadena de pulsos, y verificar voltajes correctos, se concluyó que el error provenía de la memoria de la placa. Se reemplazó la memoria para normalizar el punto y evitar recurrencia.</w:t>
      </w:r>
    </w:p>
    <w:p>
      <w:pPr>
        <w:pStyle w:val="Heading1"/>
      </w:pPr>
      <w:r>
        <w:rPr>
          <w:color w:val="1F4788"/>
        </w:rPr>
        <w:t>2. Revisión en terreno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Sensor Census / sensor inductivo: probado y en buen estado.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Pulsos de revisión: realizados; respuesta correcta.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Voltajes de alimentación / alimentación de placa: correctos.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Diagnóstico: memoria de la placa arrojaba el error (lecturas irreales).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Acción correctiva: cambio de memoria de la placa; punto reparado/normalizado.</w:t>
      </w:r>
    </w:p>
    <w:p>
      <w:pPr>
        <w:pStyle w:val="Heading1"/>
      </w:pPr>
      <w:r>
        <w:rPr>
          <w:color w:val="1F4788"/>
        </w:rPr>
        <w:t>3. Medidor en terreno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Marca/modelo: Sensus MeiStream Plus 100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Serie medidor: 8 SEN01 2370 9030 (fabricación 2023)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Q3 medidor: 100 m³/h (capacidad del instrumento)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 pulsos: HRI-Mei B4 500 ms, serie 31730485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Peso de pulso DN 40–125: 100 L/pulso (= 0.1 m³/pulso), aplicable a DN90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mecánica hoy: 5.177 m³ (23/09/2026 16:54 Chile, foto terreno Zapallar)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33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tura_20260923_1654_sens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18"/>
        </w:rPr>
        <w:t>Foto lectura 23/09/2026 16:54 — MeiStream Plus 100 = 5.177 m³</w:t>
      </w:r>
    </w:p>
    <w:p>
      <w:pPr>
        <w:pStyle w:val="Heading1"/>
      </w:pPr>
      <w:r>
        <w:rPr>
          <w:color w:val="1F4788"/>
        </w:rPr>
        <w:t>4. Criterio hidráulico (DN90)</w:t>
      </w:r>
    </w:p>
    <w:p>
      <w:r>
        <w:rPr>
          <w:rFonts w:ascii="Calibri" w:hAnsi="Calibri" w:eastAsia="Calibri"/>
          <w:b w:val="0"/>
          <w:sz w:val="22"/>
        </w:rPr>
        <w:t>La red del punto es tubería de DN90 fierro dúctil. Como referencia de capacidad máxima razonable de red se adopta ≈ 60 m³/h (~2,5 m/s en DI ≈ 90 mm). El medidor admite Q3 = 100 m³/h, pero la red DN90 no puede entregar de forma realista caudales de 92–200 m³/h.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Velocidad de referencia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Caudal teórico DN90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1,5 m/s (diseño habitual)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34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2,0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46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2,5 m/s (techo práctico de red)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57–60 m³/h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Los pulsos observados de ~92 m³/h y ~200 m³/h superan el techo hidráulico de la tubería (velocidades ~4–9 m/s); corresponden a error de registro en memoria.</w:t>
      </w:r>
    </w:p>
    <w:p>
      <w:pPr>
        <w:pStyle w:val="Heading1"/>
      </w:pPr>
      <w:r>
        <w:rPr>
          <w:color w:val="1F4788"/>
        </w:rPr>
        <w:t>5. Validación lecturas vs WES</w:t>
      </w:r>
    </w:p>
    <w:p>
      <w:r>
        <w:rPr>
          <w:rFonts w:ascii="Calibri" w:hAnsi="Calibri" w:eastAsia="Calibri"/>
          <w:b w:val="0"/>
          <w:sz w:val="22"/>
        </w:rPr>
        <w:t>Criterio de ventana (acordado): lectura de ayer a las 14:30 → se toma la mitad del consumo de la hora 14; lectura de hoy → consumo WES hasta las 16:00 (23/09/2026 16:00 Chile), aunque la foto sea a las 16:54.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Lectura ayer (terreno)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PENDIENTE @ 22/09/2026 14:30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Lectura hoy (terreno)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5.177 m³ @ 23/09/2026 16:54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Δ mecánico (hoy − ayer)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Consumo WES ventana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18,6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Diferencia (mecánico − WES)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PENDIENTE — falta lectura mecánica de ayer 14:30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Consumo WES en ventana = 18,6 m³ (mitad hora 14 del 22/09 + horas completas hasta antes de las 16:00 del 23/09).</w:t>
      </w:r>
    </w:p>
    <w:p>
      <w:r>
        <w:rPr>
          <w:rFonts w:ascii="Calibri" w:hAnsi="Calibri" w:eastAsia="Calibri"/>
          <w:b w:val="0"/>
          <w:color w:val="783C00"/>
          <w:sz w:val="20"/>
        </w:rPr>
        <w:t>Hueco de datos WES en la ventana (probable durante falla/cambio de memoria): 22/09/2026 14:00 (hora 14, se asumió 0), 22/09/2026 15:00, 22/09/2026 16:00, 22/09/2026 17:00, 22/09/2026 18:00, 22/09/2026 19:00, 22/09/2026 20:00 (7 hora(s) sin serie).</w:t>
      </w:r>
    </w:p>
    <w:p>
      <w:r>
        <w:rPr>
          <w:rFonts w:ascii="Calibri" w:hAnsi="Calibri" w:eastAsia="Calibri"/>
          <w:b/>
          <w:sz w:val="20"/>
        </w:rPr>
        <w:t>Detalle horario WES usado en la validación: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Hora Chile</w:t>
            </w:r>
          </w:p>
        </w:tc>
        <w:tc>
          <w:tcPr>
            <w:tcW w:type="dxa" w:w="3324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m³ aporte</w:t>
            </w:r>
          </w:p>
        </w:tc>
        <w:tc>
          <w:tcPr>
            <w:tcW w:type="dxa" w:w="3324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22/09/2026 14:00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sin dato WES en hora 14 → mitad = 0 (hueco post intervención)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03:00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3,20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04:00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0,80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06:00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2,20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07:00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4,10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08:00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0,90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09:00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0,40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10:00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1,50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11:00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1,80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12:00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2,50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13:00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0,60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14:00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0,20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23/09/2026 15:00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0,40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hora completa en ventana</w:t>
            </w:r>
          </w:p>
        </w:tc>
      </w:tr>
    </w:tbl>
    <w:p>
      <w:r>
        <w:rPr>
          <w:rFonts w:ascii="Calibri" w:hAnsi="Calibri" w:eastAsia="Calibri"/>
          <w:b w:val="0"/>
          <w:color w:val="960000"/>
          <w:sz w:val="20"/>
        </w:rPr>
        <w:t>Para cerrar el % de diferencia falta la lectura mecánica de ayer (22/09/2026 14:30). Re-generar con: python generar_informe_cambio_memoria_etapa5_zapallar.py --lectura-ayer NNNN</w:t>
      </w:r>
    </w:p>
    <w:p>
      <w:pPr>
        <w:pStyle w:val="Heading1"/>
      </w:pPr>
      <w:r>
        <w:rPr>
          <w:color w:val="1F4788"/>
        </w:rPr>
        <w:t>6. Conclusión</w:t>
      </w:r>
    </w:p>
    <w:p>
      <w:r>
        <w:rPr>
          <w:rFonts w:ascii="Calibri" w:hAnsi="Calibri" w:eastAsia="Calibri"/>
          <w:b w:val="0"/>
          <w:sz w:val="22"/>
        </w:rPr>
        <w:t>Se confirma falla de memoria de placa (no del sensor Sensus/HRI ni de la red). Con el reemplazo de memoria el punto queda normalizado. Consumo WES post-ventana de validación: 18,6 m³ hasta las 16:00 del 23/09/2026. Se mantiene seguimiento diario matutino del nodo 000027-03 con umbral de alerta en 60 m³/h.</w:t>
      </w:r>
    </w:p>
    <w:p>
      <w:r>
        <w:rPr>
          <w:rFonts w:ascii="Calibri" w:hAnsi="Calibri" w:eastAsia="Calibri"/>
          <w:b w:val="0"/>
          <w:color w:val="646464"/>
          <w:sz w:val="18"/>
        </w:rPr>
        <w:t>Nota: informe de intervención en terreno + validación de lecturas vs API WES (nodo 000027-03).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