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CORMUP</w:t>
      </w:r>
    </w:p>
    <w:p>
      <w:pPr>
        <w:jc w:val="center"/>
      </w:pPr>
      <w:r>
        <w:t>MONITOREO WES</w:t>
        <w:br/>
        <w:t>Análisis consolidado de 10 puntos de monitoreo</w:t>
        <w:br/>
        <w:t>Rango: 07-09-26 - 13-09-26</w:t>
        <w:br/>
        <w:t>Generado: 21-09-26</w:t>
      </w:r>
    </w:p>
    <w:p>
      <w:pPr>
        <w:jc w:val="both"/>
      </w:pPr>
      <w:r>
        <w:rPr>
          <w:color w:val="000000"/>
        </w:rPr>
        <w:t>Periodo de referencia sin control operativo de vacaciones (07–13/09/2026). Excluidos: Tobalaba (pulso), Eduardo de la Barra, Alicura y Likankura.</w:t>
      </w:r>
    </w:p>
    <w:p/>
    <w:p>
      <w:pPr>
        <w:pStyle w:val="Heading1"/>
        <w:keepNext/>
        <w:widowControl/>
        <w:spacing w:after="60"/>
      </w:pPr>
      <w:r>
        <w:rPr>
          <w:b/>
          <w:color w:val="003366"/>
        </w:rPr>
        <w:t>RESUMEN EJECUTIVO AGREGADO</w:t>
      </w:r>
    </w:p>
    <w:p>
      <w:r>
        <w:t>Puntos de monitoreo analizados: 10.</w:t>
        <w:br/>
      </w:r>
      <w:r>
        <w:t>Consumo total agregado: 2.349,3 m³.</w:t>
        <w:br/>
      </w:r>
      <w:r>
        <w:t>Consumo promedio por punto: 234,9 m³.</w:t>
        <w:br/>
      </w:r>
      <w:r>
        <w:t>Total de alertas registradas: 22.</w:t>
        <w:br/>
      </w:r>
      <w:r>
        <w:t>Promedio de alerta agregado: 0,1 m³/h.</w:t>
        <w:br/>
      </w:r>
      <w:r>
        <w:t>Proyección diaria de consumo nocturno agregada: 1,7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3647"/>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3647"/>
                    </a:xfrm>
                    <a:prstGeom prst="rect"/>
                  </pic:spPr>
                </pic:pic>
              </a:graphicData>
            </a:graphic>
          </wp:inline>
        </w:drawing>
      </w:r>
    </w:p>
    <w:p/>
    <w:p>
      <w:pPr>
        <w:jc w:val="both"/>
      </w:pPr>
      <w:r>
        <w:rPr>
          <w:color w:val="000000"/>
        </w:rPr>
        <w:t>El análisis comparativo revela que el punto con mayor consumo es Unión Nacional Árabe, con un total de 710,3 m³ durante el periodo analizado. Este valor representa un 202,3% por encima del promedio (234,9 m³ por punto), indicando una demanda significativamente superior a la media. Por otro lado, el punto con menor consumo es Erasmo Escala, con un total de 14,3 m³. Este valor representa un 93,9% por debajo del promedio, mostrando una demanda significativamente inferior. La diferencia entre el punto de mayor y menor consumo es considerable, siendo el consumo máximo aproximadamente 49,7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8"/>
        <w:gridCol w:w="1376"/>
        <w:gridCol w:w="1126"/>
        <w:gridCol w:w="1001"/>
        <w:gridCol w:w="1376"/>
        <w:gridCol w:w="1502"/>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Unión Nacional Árabe</w:t>
            </w:r>
          </w:p>
        </w:tc>
        <w:tc>
          <w:tcPr>
            <w:tcW w:type="dxa" w:w="1440"/>
            <w:noWrap/>
          </w:tcPr>
          <w:p>
            <w:r>
              <w:t>710,3</w:t>
            </w:r>
          </w:p>
        </w:tc>
        <w:tc>
          <w:tcPr>
            <w:tcW w:type="dxa" w:w="1440"/>
            <w:noWrap/>
          </w:tcPr>
          <w:p>
            <w:r>
              <w:t>0</w:t>
            </w:r>
          </w:p>
        </w:tc>
        <w:tc>
          <w:tcPr>
            <w:tcW w:type="dxa" w:w="1440"/>
            <w:noWrap/>
          </w:tcPr>
          <w:p>
            <w:pPr>
              <w:jc w:val="left"/>
            </w:pPr>
            <w:r>
              <w:t>0 m³</w:t>
            </w:r>
          </w:p>
          <w:p>
            <w:pPr>
              <w:jc w:val="left"/>
            </w:pPr>
            <w:r>
              <w:t>(2 días, 28,6%)</w:t>
            </w:r>
          </w:p>
        </w:tc>
        <w:tc>
          <w:tcPr>
            <w:tcW w:type="dxa" w:w="1440"/>
            <w:noWrap/>
          </w:tcPr>
          <w:p>
            <w:pPr>
              <w:jc w:val="left"/>
            </w:pPr>
            <w:r>
              <w:t>0,0 m³</w:t>
            </w:r>
          </w:p>
          <w:p>
            <w:pPr>
              <w:jc w:val="left"/>
            </w:pPr>
            <w:r>
              <w:t>(0,0%)</w:t>
            </w:r>
          </w:p>
        </w:tc>
      </w:tr>
      <w:tr>
        <w:tc>
          <w:tcPr>
            <w:tcW w:type="dxa" w:w="1440"/>
            <w:noWrap/>
          </w:tcPr>
          <w:p>
            <w:r>
              <w:t>2</w:t>
            </w:r>
          </w:p>
        </w:tc>
        <w:tc>
          <w:tcPr>
            <w:tcW w:type="dxa" w:w="1440"/>
            <w:noWrap/>
          </w:tcPr>
          <w:p>
            <w:r>
              <w:t>Lic. Antonio Hermida F</w:t>
            </w:r>
          </w:p>
        </w:tc>
        <w:tc>
          <w:tcPr>
            <w:tcW w:type="dxa" w:w="1440"/>
            <w:noWrap/>
          </w:tcPr>
          <w:p>
            <w:r>
              <w:t>584,4</w:t>
            </w:r>
          </w:p>
        </w:tc>
        <w:tc>
          <w:tcPr>
            <w:tcW w:type="dxa" w:w="1440"/>
            <w:noWrap/>
          </w:tcPr>
          <w:p>
            <w:r>
              <w:t>2</w:t>
            </w:r>
          </w:p>
        </w:tc>
        <w:tc>
          <w:tcPr>
            <w:tcW w:type="dxa" w:w="1440"/>
            <w:noWrap/>
          </w:tcPr>
          <w:p>
            <w:pPr>
              <w:jc w:val="left"/>
            </w:pPr>
            <w:r>
              <w:t>8,2 m³</w:t>
            </w:r>
          </w:p>
          <w:p>
            <w:pPr>
              <w:jc w:val="left"/>
            </w:pPr>
            <w:r>
              <w:t>(5 días, 71,4%)</w:t>
            </w:r>
          </w:p>
        </w:tc>
        <w:tc>
          <w:tcPr>
            <w:tcW w:type="dxa" w:w="1440"/>
            <w:noWrap/>
          </w:tcPr>
          <w:p>
            <w:pPr>
              <w:jc w:val="left"/>
            </w:pPr>
            <w:r>
              <w:t>0,0 m³</w:t>
            </w:r>
          </w:p>
          <w:p>
            <w:pPr>
              <w:jc w:val="left"/>
            </w:pPr>
            <w:r>
              <w:t>(0,0%)</w:t>
            </w:r>
          </w:p>
        </w:tc>
      </w:tr>
      <w:tr>
        <w:tc>
          <w:tcPr>
            <w:tcW w:type="dxa" w:w="1440"/>
            <w:noWrap/>
          </w:tcPr>
          <w:p>
            <w:r>
              <w:t>3</w:t>
            </w:r>
          </w:p>
        </w:tc>
        <w:tc>
          <w:tcPr>
            <w:tcW w:type="dxa" w:w="1440"/>
            <w:noWrap/>
          </w:tcPr>
          <w:p>
            <w:r>
              <w:t>Luis Arrieta Caña</w:t>
            </w:r>
          </w:p>
        </w:tc>
        <w:tc>
          <w:tcPr>
            <w:tcW w:type="dxa" w:w="1440"/>
            <w:noWrap/>
          </w:tcPr>
          <w:p>
            <w:r>
              <w:t>418,8</w:t>
            </w:r>
          </w:p>
        </w:tc>
        <w:tc>
          <w:tcPr>
            <w:tcW w:type="dxa" w:w="1440"/>
            <w:noWrap/>
          </w:tcPr>
          <w:p>
            <w:r>
              <w:t>0</w:t>
            </w:r>
          </w:p>
        </w:tc>
        <w:tc>
          <w:tcPr>
            <w:tcW w:type="dxa" w:w="1440"/>
            <w:noWrap/>
          </w:tcPr>
          <w:p>
            <w:pPr>
              <w:jc w:val="left"/>
            </w:pPr>
            <w:r>
              <w:t>54 m³</w:t>
            </w:r>
          </w:p>
          <w:p>
            <w:pPr>
              <w:jc w:val="left"/>
            </w:pPr>
            <w:r>
              <w:t>(5 días, 71,4%)</w:t>
            </w:r>
          </w:p>
        </w:tc>
        <w:tc>
          <w:tcPr>
            <w:tcW w:type="dxa" w:w="1440"/>
            <w:noWrap/>
          </w:tcPr>
          <w:p>
            <w:pPr>
              <w:jc w:val="left"/>
            </w:pPr>
            <w:r>
              <w:t>0,0 m³</w:t>
            </w:r>
          </w:p>
          <w:p>
            <w:pPr>
              <w:jc w:val="left"/>
            </w:pPr>
            <w:r>
              <w:t>(0,0%)</w:t>
            </w:r>
          </w:p>
        </w:tc>
      </w:tr>
      <w:tr>
        <w:tc>
          <w:tcPr>
            <w:tcW w:type="dxa" w:w="1440"/>
            <w:noWrap/>
          </w:tcPr>
          <w:p>
            <w:r>
              <w:t>4</w:t>
            </w:r>
          </w:p>
        </w:tc>
        <w:tc>
          <w:tcPr>
            <w:tcW w:type="dxa" w:w="1440"/>
            <w:noWrap/>
          </w:tcPr>
          <w:p>
            <w:r>
              <w:t>Santa Maria</w:t>
            </w:r>
          </w:p>
        </w:tc>
        <w:tc>
          <w:tcPr>
            <w:tcW w:type="dxa" w:w="1440"/>
            <w:noWrap/>
          </w:tcPr>
          <w:p>
            <w:r>
              <w:t>170,4</w:t>
            </w:r>
          </w:p>
        </w:tc>
        <w:tc>
          <w:tcPr>
            <w:tcW w:type="dxa" w:w="1440"/>
            <w:noWrap/>
          </w:tcPr>
          <w:p>
            <w:r>
              <w:t>0</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tcPr>
          <w:p>
            <w:r>
              <w:t>5</w:t>
            </w:r>
          </w:p>
        </w:tc>
        <w:tc>
          <w:tcPr>
            <w:tcW w:type="dxa" w:w="1440"/>
            <w:noWrap/>
          </w:tcPr>
          <w:p>
            <w:r>
              <w:t>CE Valle Hermoso</w:t>
            </w:r>
          </w:p>
        </w:tc>
        <w:tc>
          <w:tcPr>
            <w:tcW w:type="dxa" w:w="1440"/>
            <w:noWrap/>
          </w:tcPr>
          <w:p>
            <w:r>
              <w:t>144,2</w:t>
            </w:r>
          </w:p>
        </w:tc>
        <w:tc>
          <w:tcPr>
            <w:tcW w:type="dxa" w:w="1440"/>
            <w:noWrap/>
          </w:tcPr>
          <w:p>
            <w:r>
              <w:t>5</w:t>
            </w:r>
          </w:p>
        </w:tc>
        <w:tc>
          <w:tcPr>
            <w:tcW w:type="dxa" w:w="1440"/>
            <w:noWrap/>
          </w:tcPr>
          <w:p>
            <w:pPr>
              <w:jc w:val="left"/>
            </w:pPr>
            <w:r>
              <w:t>1,3 m³</w:t>
            </w:r>
          </w:p>
          <w:p>
            <w:pPr>
              <w:jc w:val="left"/>
            </w:pPr>
            <w:r>
              <w:t>(7 días, 100%)</w:t>
            </w:r>
          </w:p>
        </w:tc>
        <w:tc>
          <w:tcPr>
            <w:tcW w:type="dxa" w:w="1440"/>
            <w:noWrap/>
          </w:tcPr>
          <w:p>
            <w:pPr>
              <w:jc w:val="left"/>
            </w:pPr>
            <w:r>
              <w:t>4 m³</w:t>
            </w:r>
          </w:p>
          <w:p>
            <w:pPr>
              <w:jc w:val="left"/>
            </w:pPr>
            <w:r>
              <w:t>(2,8%)</w:t>
            </w:r>
          </w:p>
        </w:tc>
      </w:tr>
      <w:tr>
        <w:tc>
          <w:tcPr>
            <w:tcW w:type="dxa" w:w="1440"/>
            <w:noWrap/>
          </w:tcPr>
          <w:p>
            <w:r>
              <w:t>6</w:t>
            </w:r>
          </w:p>
        </w:tc>
        <w:tc>
          <w:tcPr>
            <w:tcW w:type="dxa" w:w="1440"/>
            <w:noWrap/>
          </w:tcPr>
          <w:p>
            <w:r>
              <w:t>Juan Bautista Pasten</w:t>
            </w:r>
          </w:p>
        </w:tc>
        <w:tc>
          <w:tcPr>
            <w:tcW w:type="dxa" w:w="1440"/>
            <w:noWrap/>
          </w:tcPr>
          <w:p>
            <w:r>
              <w:t>128,4</w:t>
            </w:r>
          </w:p>
        </w:tc>
        <w:tc>
          <w:tcPr>
            <w:tcW w:type="dxa" w:w="1440"/>
            <w:noWrap/>
          </w:tcPr>
          <w:p>
            <w:r>
              <w:t>2</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tcPr>
          <w:p>
            <w:r>
              <w:t>7</w:t>
            </w:r>
          </w:p>
        </w:tc>
        <w:tc>
          <w:tcPr>
            <w:tcW w:type="dxa" w:w="1440"/>
            <w:noWrap/>
          </w:tcPr>
          <w:p>
            <w:r>
              <w:t>Carlos Fernandez P.</w:t>
            </w:r>
          </w:p>
        </w:tc>
        <w:tc>
          <w:tcPr>
            <w:tcW w:type="dxa" w:w="1440"/>
            <w:noWrap/>
          </w:tcPr>
          <w:p>
            <w:r>
              <w:t>117,6</w:t>
            </w:r>
          </w:p>
        </w:tc>
        <w:tc>
          <w:tcPr>
            <w:tcW w:type="dxa" w:w="1440"/>
            <w:noWrap/>
          </w:tcPr>
          <w:p>
            <w:r>
              <w:t>6</w:t>
            </w:r>
          </w:p>
        </w:tc>
        <w:tc>
          <w:tcPr>
            <w:tcW w:type="dxa" w:w="1440"/>
            <w:noWrap/>
          </w:tcPr>
          <w:p>
            <w:pPr>
              <w:jc w:val="left"/>
            </w:pPr>
            <w:r>
              <w:t>3,7 m³</w:t>
            </w:r>
          </w:p>
          <w:p>
            <w:pPr>
              <w:jc w:val="left"/>
            </w:pPr>
            <w:r>
              <w:t>(7 días, 100%)</w:t>
            </w:r>
          </w:p>
        </w:tc>
        <w:tc>
          <w:tcPr>
            <w:tcW w:type="dxa" w:w="1440"/>
            <w:noWrap/>
          </w:tcPr>
          <w:p>
            <w:pPr>
              <w:jc w:val="left"/>
            </w:pPr>
            <w:r>
              <w:t>11,1 m³</w:t>
            </w:r>
          </w:p>
          <w:p>
            <w:pPr>
              <w:jc w:val="left"/>
            </w:pPr>
            <w:r>
              <w:t>(9,4%)</w:t>
            </w:r>
          </w:p>
        </w:tc>
      </w:tr>
      <w:tr>
        <w:tc>
          <w:tcPr>
            <w:tcW w:type="dxa" w:w="1440"/>
            <w:noWrap/>
          </w:tcPr>
          <w:p>
            <w:r>
              <w:t>8</w:t>
            </w:r>
          </w:p>
        </w:tc>
        <w:tc>
          <w:tcPr>
            <w:tcW w:type="dxa" w:w="1440"/>
            <w:noWrap/>
          </w:tcPr>
          <w:p>
            <w:r>
              <w:t>Matilde Huici Navas</w:t>
            </w:r>
          </w:p>
        </w:tc>
        <w:tc>
          <w:tcPr>
            <w:tcW w:type="dxa" w:w="1440"/>
            <w:noWrap/>
          </w:tcPr>
          <w:p>
            <w:r>
              <w:t>33,8</w:t>
            </w:r>
          </w:p>
        </w:tc>
        <w:tc>
          <w:tcPr>
            <w:tcW w:type="dxa" w:w="1440"/>
            <w:noWrap/>
          </w:tcPr>
          <w:p>
            <w:r>
              <w:t>6</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tcPr>
          <w:p>
            <w:r>
              <w:t>9</w:t>
            </w:r>
          </w:p>
        </w:tc>
        <w:tc>
          <w:tcPr>
            <w:tcW w:type="dxa" w:w="1440"/>
            <w:noWrap/>
          </w:tcPr>
          <w:p>
            <w:r>
              <w:t>Juan Pablo II</w:t>
            </w:r>
          </w:p>
        </w:tc>
        <w:tc>
          <w:tcPr>
            <w:tcW w:type="dxa" w:w="1440"/>
            <w:noWrap/>
          </w:tcPr>
          <w:p>
            <w:r>
              <w:t>27,1</w:t>
            </w:r>
          </w:p>
        </w:tc>
        <w:tc>
          <w:tcPr>
            <w:tcW w:type="dxa" w:w="1440"/>
            <w:noWrap/>
          </w:tcPr>
          <w:p>
            <w:r>
              <w:t>0</w:t>
            </w:r>
          </w:p>
        </w:tc>
        <w:tc>
          <w:tcPr>
            <w:tcW w:type="dxa" w:w="1440"/>
            <w:noWrap/>
          </w:tcPr>
          <w:p>
            <w:pPr>
              <w:jc w:val="left"/>
            </w:pPr>
            <w:r>
              <w:t>0,5 m³</w:t>
            </w:r>
          </w:p>
          <w:p>
            <w:pPr>
              <w:jc w:val="left"/>
            </w:pPr>
            <w:r>
              <w:t>(4 días, 57,1%)</w:t>
            </w:r>
          </w:p>
        </w:tc>
        <w:tc>
          <w:tcPr>
            <w:tcW w:type="dxa" w:w="1440"/>
            <w:noWrap/>
          </w:tcPr>
          <w:p>
            <w:pPr>
              <w:jc w:val="left"/>
            </w:pPr>
            <w:r>
              <w:t>0,0 m³</w:t>
            </w:r>
          </w:p>
          <w:p>
            <w:pPr>
              <w:jc w:val="left"/>
            </w:pPr>
            <w:r>
              <w:t>(0,0%)</w:t>
            </w:r>
          </w:p>
        </w:tc>
      </w:tr>
      <w:tr>
        <w:tc>
          <w:tcPr>
            <w:tcW w:type="dxa" w:w="1440"/>
            <w:noWrap/>
          </w:tcPr>
          <w:p>
            <w:r>
              <w:t>10</w:t>
            </w:r>
          </w:p>
        </w:tc>
        <w:tc>
          <w:tcPr>
            <w:tcW w:type="dxa" w:w="1440"/>
            <w:noWrap/>
          </w:tcPr>
          <w:p>
            <w:r>
              <w:t>Erasmo Escala</w:t>
            </w:r>
          </w:p>
        </w:tc>
        <w:tc>
          <w:tcPr>
            <w:tcW w:type="dxa" w:w="1440"/>
            <w:noWrap/>
          </w:tcPr>
          <w:p>
            <w:r>
              <w:t>14,3</w:t>
            </w:r>
          </w:p>
        </w:tc>
        <w:tc>
          <w:tcPr>
            <w:tcW w:type="dxa" w:w="1440"/>
            <w:noWrap/>
          </w:tcPr>
          <w:p>
            <w:r>
              <w:t>1</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2.349,3</w:t>
            </w:r>
          </w:p>
        </w:tc>
        <w:tc>
          <w:tcPr>
            <w:tcW w:type="dxa" w:w="1440"/>
            <w:noWrap/>
            <w:shd w:val="clear" w:fill="FFE6E6"/>
          </w:tcPr>
          <w:p>
            <w:pPr>
              <w:jc w:val="left"/>
            </w:pPr>
            <w:r>
              <w:rPr>
                <w:b/>
                <w:color w:val="FF0000"/>
              </w:rPr>
              <w:t>22</w:t>
            </w:r>
          </w:p>
        </w:tc>
        <w:tc>
          <w:tcPr>
            <w:tcW w:type="dxa" w:w="1440"/>
            <w:noWrap/>
            <w:shd w:val="clear" w:fill="FFE6E6"/>
          </w:tcPr>
          <w:p>
            <w:pPr>
              <w:jc w:val="left"/>
            </w:pPr>
            <w:r>
              <w:rPr>
                <w:b/>
                <w:color w:val="FF0000"/>
              </w:rPr>
              <w:t>67,8 m³</w:t>
            </w:r>
          </w:p>
        </w:tc>
        <w:tc>
          <w:tcPr>
            <w:tcW w:type="dxa" w:w="1440"/>
            <w:noWrap/>
            <w:shd w:val="clear" w:fill="FFE6E6"/>
          </w:tcPr>
          <w:p>
            <w:pPr>
              <w:jc w:val="left"/>
            </w:pPr>
            <w:r>
              <w:rPr>
                <w:b/>
                <w:color w:val="FF0000"/>
              </w:rPr>
              <w:t>15,1 m³</w:t>
            </w:r>
          </w:p>
        </w:tc>
      </w:tr>
    </w:tbl>
    <w:p/>
    <w:p>
      <w:pPr>
        <w:keepNext/>
        <w:widowControl/>
        <w:spacing w:after="60"/>
        <w:jc w:val="center"/>
      </w:pPr>
      <w:r>
        <w:drawing>
          <wp:inline xmlns:a="http://schemas.openxmlformats.org/drawingml/2006/main" xmlns:pic="http://schemas.openxmlformats.org/drawingml/2006/picture">
            <wp:extent cx="5486400" cy="3410465"/>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0465"/>
                    </a:xfrm>
                    <a:prstGeom prst="rect"/>
                  </pic:spPr>
                </pic:pic>
              </a:graphicData>
            </a:graphic>
          </wp:inline>
        </w:drawing>
      </w:r>
    </w:p>
    <w:p/>
    <w:p>
      <w:pPr>
        <w:keepNext/>
        <w:widowControl/>
        <w:spacing w:after="60"/>
      </w:pPr>
      <w:r>
        <w:rPr>
          <w:b/>
          <w:color w:val="003366"/>
        </w:rPr>
        <w:t>DÍA CON MAYOR CONSUMO NOCTURNO - LIC. ANTONIO HERMIDA F (07-09-26):</w:t>
      </w:r>
    </w:p>
    <w:p>
      <w:pPr>
        <w:keepNext/>
        <w:widowControl/>
        <w:spacing w:after="60"/>
        <w:jc w:val="center"/>
      </w:pPr>
      <w:r>
        <w:drawing>
          <wp:inline xmlns:a="http://schemas.openxmlformats.org/drawingml/2006/main" xmlns:pic="http://schemas.openxmlformats.org/drawingml/2006/picture">
            <wp:extent cx="5486400" cy="2713624"/>
            <wp:docPr id="3" name="Picture 3"/>
            <wp:cNvGraphicFramePr>
              <a:graphicFrameLocks noChangeAspect="1"/>
            </wp:cNvGraphicFramePr>
            <a:graphic>
              <a:graphicData uri="http://schemas.openxmlformats.org/drawingml/2006/picture">
                <pic:pic>
                  <pic:nvPicPr>
                    <pic:cNvPr id="0" name="chart_max_nocturnal_000008_01.png"/>
                    <pic:cNvPicPr/>
                  </pic:nvPicPr>
                  <pic:blipFill>
                    <a:blip r:embed="rId12"/>
                    <a:stretch>
                      <a:fillRect/>
                    </a:stretch>
                  </pic:blipFill>
                  <pic:spPr>
                    <a:xfrm>
                      <a:off x="0" y="0"/>
                      <a:ext cx="5486400" cy="2713624"/>
                    </a:xfrm>
                    <a:prstGeom prst="rect"/>
                  </pic:spPr>
                </pic:pic>
              </a:graphicData>
            </a:graphic>
          </wp:inline>
        </w:drawing>
      </w:r>
    </w:p>
    <w:p>
      <w:pPr>
        <w:jc w:val="both"/>
      </w:pPr>
      <w:r>
        <w:rPr>
          <w:color w:val="000000"/>
        </w:rPr>
        <w:t>El nodo Lic. Antonio Hermida F registró 2 alerta(s) durante 2 día(s) del periodo analizado. La periodicidad de las alertas es intermitente (más del 20% de los días).</w:t>
      </w:r>
    </w:p>
    <w:p/>
    <w:p>
      <w:pPr>
        <w:keepNext/>
        <w:widowControl/>
        <w:spacing w:after="60"/>
      </w:pPr>
      <w:r>
        <w:rPr>
          <w:b/>
          <w:color w:val="003366"/>
        </w:rPr>
        <w:t>DÍA CON MAYOR CONSUMO NOCTURNO - CARLOS FERNANDEZ P. (09-09-26):</w:t>
      </w:r>
    </w:p>
    <w:p>
      <w:pPr>
        <w:keepNext/>
        <w:widowControl/>
        <w:spacing w:after="60"/>
        <w:jc w:val="center"/>
      </w:pPr>
      <w:r>
        <w:drawing>
          <wp:inline xmlns:a="http://schemas.openxmlformats.org/drawingml/2006/main" xmlns:pic="http://schemas.openxmlformats.org/drawingml/2006/picture">
            <wp:extent cx="5486400" cy="2713624"/>
            <wp:docPr id="4" name="Picture 4"/>
            <wp:cNvGraphicFramePr>
              <a:graphicFrameLocks noChangeAspect="1"/>
            </wp:cNvGraphicFramePr>
            <a:graphic>
              <a:graphicData uri="http://schemas.openxmlformats.org/drawingml/2006/picture">
                <pic:pic>
                  <pic:nvPicPr>
                    <pic:cNvPr id="0" name="chart_max_nocturnal_000008_03.png"/>
                    <pic:cNvPicPr/>
                  </pic:nvPicPr>
                  <pic:blipFill>
                    <a:blip r:embed="rId13"/>
                    <a:stretch>
                      <a:fillRect/>
                    </a:stretch>
                  </pic:blipFill>
                  <pic:spPr>
                    <a:xfrm>
                      <a:off x="0" y="0"/>
                      <a:ext cx="5486400" cy="2713624"/>
                    </a:xfrm>
                    <a:prstGeom prst="rect"/>
                  </pic:spPr>
                </pic:pic>
              </a:graphicData>
            </a:graphic>
          </wp:inline>
        </w:drawing>
      </w:r>
    </w:p>
    <w:p>
      <w:pPr>
        <w:jc w:val="both"/>
      </w:pPr>
      <w:r>
        <w:rPr>
          <w:color w:val="000000"/>
        </w:rPr>
        <w:t>El nodo Carlos Fernandez P. registró 6 alerta(s) durante 5 día(s) del periodo analizado. La periodicidad de las alertas es regular (más del 50% de los días). Se identificó una proyección de filtración de 11,1 m³ ($14.059), lo que indica un patrón de fuga constante durante el periodo.</w:t>
      </w:r>
    </w:p>
    <w:p/>
    <w:p>
      <w:pPr>
        <w:keepNext/>
        <w:widowControl/>
        <w:spacing w:after="60"/>
      </w:pPr>
      <w:r>
        <w:rPr>
          <w:b/>
          <w:color w:val="003366"/>
        </w:rPr>
        <w:t>DÍA CON MAYOR CONSUMO NOCTURNO - CE VALLE HERMOSO (08-09-26):</w:t>
      </w:r>
    </w:p>
    <w:p>
      <w:pPr>
        <w:keepNext/>
        <w:widowControl/>
        <w:spacing w:after="60"/>
        <w:jc w:val="center"/>
      </w:pPr>
      <w:r>
        <w:drawing>
          <wp:inline xmlns:a="http://schemas.openxmlformats.org/drawingml/2006/main" xmlns:pic="http://schemas.openxmlformats.org/drawingml/2006/picture">
            <wp:extent cx="5486400" cy="2713624"/>
            <wp:docPr id="5" name="Picture 5"/>
            <wp:cNvGraphicFramePr>
              <a:graphicFrameLocks noChangeAspect="1"/>
            </wp:cNvGraphicFramePr>
            <a:graphic>
              <a:graphicData uri="http://schemas.openxmlformats.org/drawingml/2006/picture">
                <pic:pic>
                  <pic:nvPicPr>
                    <pic:cNvPr id="0" name="chart_max_nocturnal_000008_11.png"/>
                    <pic:cNvPicPr/>
                  </pic:nvPicPr>
                  <pic:blipFill>
                    <a:blip r:embed="rId14"/>
                    <a:stretch>
                      <a:fillRect/>
                    </a:stretch>
                  </pic:blipFill>
                  <pic:spPr>
                    <a:xfrm>
                      <a:off x="0" y="0"/>
                      <a:ext cx="5486400" cy="2713624"/>
                    </a:xfrm>
                    <a:prstGeom prst="rect"/>
                  </pic:spPr>
                </pic:pic>
              </a:graphicData>
            </a:graphic>
          </wp:inline>
        </w:drawing>
      </w:r>
    </w:p>
    <w:p>
      <w:pPr>
        <w:jc w:val="both"/>
      </w:pPr>
      <w:r>
        <w:rPr>
          <w:color w:val="000000"/>
        </w:rPr>
        <w:t>El nodo CE Valle Hermoso registró 5 alerta(s) durante 5 día(s) del periodo analizado. La periodicidad de las alertas es regular (más del 50% de los días). Se identificó una proyección de filtración de 4 m³ ($5.105), lo que indica un patrón de fuga constante durante el periodo.</w:t>
      </w:r>
    </w:p>
    <w:p/>
    <w:p>
      <w:pPr>
        <w:keepNext/>
        <w:widowControl/>
        <w:spacing w:after="60"/>
      </w:pPr>
      <w:r>
        <w:rPr>
          <w:b/>
          <w:color w:val="003366"/>
        </w:rPr>
        <w:t>PERFILES HORARIOS Y PROYECCIÓN (SERIE API — ESTILO APP WES)</w:t>
      </w:r>
    </w:p>
    <w:p>
      <w:pPr>
        <w:jc w:val="both"/>
      </w:pPr>
      <w:r>
        <w:t>Los siguientes gráficos replican el perfil horario de la app WES (sin captura de pantalla). La proyección mensual usa consumo en madrugada (00:00–06:59) extrapolado a 24 h × 30 días, útil para estimar ahorro con equipo de control cuando no hay alertas MyAlert recientes.</w:t>
      </w:r>
    </w:p>
    <w:p/>
    <w:p>
      <w:pPr>
        <w:keepNext/>
        <w:widowControl/>
        <w:spacing w:after="60"/>
      </w:pPr>
      <w:r>
        <w:rPr>
          <w:b/>
          <w:color w:val="003366"/>
        </w:rPr>
        <w:t>LUIS ARRIETA CAÑA (000008-06)</w:t>
      </w:r>
    </w:p>
    <w:p>
      <w:r>
        <w:rPr>
          <w:b/>
        </w:rPr>
        <w:t xml:space="preserve">Consumo nocturno en el periodo: </w:t>
      </w:r>
      <w:r>
        <w:t xml:space="preserve">54 m³. </w:t>
      </w:r>
      <w:r>
        <w:rPr>
          <w:b/>
        </w:rPr>
        <w:t xml:space="preserve">Proyección a 30 días (24 h/día): </w:t>
      </w:r>
      <w:r>
        <w:t>793,5 m³ ($1.007.706 referencial).</w:t>
      </w:r>
    </w:p>
    <w:p>
      <w:r>
        <w:t>Nota: el patrón nocturno no supera el umbral del 75 % de días con consumo en madrugada; la proyección se muestra como estimación técnica a partir de la serie horaria.</w:t>
      </w:r>
    </w:p>
    <w:p>
      <w:pPr>
        <w:keepNext/>
        <w:widowControl/>
        <w:spacing w:after="60"/>
        <w:jc w:val="center"/>
      </w:pPr>
      <w:r>
        <w:drawing>
          <wp:inline xmlns:a="http://schemas.openxmlformats.org/drawingml/2006/main" xmlns:pic="http://schemas.openxmlformats.org/drawingml/2006/picture">
            <wp:extent cx="5486400" cy="2445387"/>
            <wp:docPr id="6" name="Picture 6"/>
            <wp:cNvGraphicFramePr>
              <a:graphicFrameLocks noChangeAspect="1"/>
            </wp:cNvGraphicFramePr>
            <a:graphic>
              <a:graphicData uri="http://schemas.openxmlformats.org/drawingml/2006/picture">
                <pic:pic>
                  <pic:nvPicPr>
                    <pic:cNvPr id="0" name="app_horario_000008_06.png"/>
                    <pic:cNvPicPr/>
                  </pic:nvPicPr>
                  <pic:blipFill>
                    <a:blip r:embed="rId15"/>
                    <a:stretch>
                      <a:fillRect/>
                    </a:stretch>
                  </pic:blipFill>
                  <pic:spPr>
                    <a:xfrm>
                      <a:off x="0" y="0"/>
                      <a:ext cx="5486400" cy="2445387"/>
                    </a:xfrm>
                    <a:prstGeom prst="rect"/>
                  </pic:spPr>
                </pic:pic>
              </a:graphicData>
            </a:graphic>
          </wp:inline>
        </w:drawing>
      </w:r>
    </w:p>
    <w:p/>
    <w:p>
      <w:pPr>
        <w:keepNext/>
        <w:widowControl/>
        <w:spacing w:after="60"/>
      </w:pPr>
      <w:r>
        <w:rPr>
          <w:b/>
          <w:color w:val="003366"/>
        </w:rPr>
        <w:t>UNIÓN NACIONAL ÁRABE (000008-12)</w:t>
      </w:r>
    </w:p>
    <w:p>
      <w:r>
        <w:rPr>
          <w:b/>
        </w:rPr>
        <w:t xml:space="preserve">Consumo nocturno en el periodo: </w:t>
      </w:r>
      <w:r>
        <w:t xml:space="preserve">0 m³. </w:t>
      </w:r>
      <w:r>
        <w:rPr>
          <w:b/>
        </w:rPr>
        <w:t xml:space="preserve">Proyección a 30 días (24 h/día): </w:t>
      </w:r>
      <w:r>
        <w:t>0,6 m³ ($746 referencial).</w:t>
      </w:r>
    </w:p>
    <w:p>
      <w:r>
        <w:t>Nota: el patrón nocturno no supera el umbral del 75 % de días con consumo en madrugada; la proyección se muestra como estimación técnica a partir de la serie horaria.</w:t>
      </w:r>
    </w:p>
    <w:p>
      <w:pPr>
        <w:keepNext/>
        <w:widowControl/>
        <w:spacing w:after="60"/>
        <w:jc w:val="center"/>
      </w:pPr>
      <w:r>
        <w:drawing>
          <wp:inline xmlns:a="http://schemas.openxmlformats.org/drawingml/2006/main" xmlns:pic="http://schemas.openxmlformats.org/drawingml/2006/picture">
            <wp:extent cx="5486400" cy="2456487"/>
            <wp:docPr id="7" name="Picture 7"/>
            <wp:cNvGraphicFramePr>
              <a:graphicFrameLocks noChangeAspect="1"/>
            </wp:cNvGraphicFramePr>
            <a:graphic>
              <a:graphicData uri="http://schemas.openxmlformats.org/drawingml/2006/picture">
                <pic:pic>
                  <pic:nvPicPr>
                    <pic:cNvPr id="0" name="app_horario_000008_12.png"/>
                    <pic:cNvPicPr/>
                  </pic:nvPicPr>
                  <pic:blipFill>
                    <a:blip r:embed="rId16"/>
                    <a:stretch>
                      <a:fillRect/>
                    </a:stretch>
                  </pic:blipFill>
                  <pic:spPr>
                    <a:xfrm>
                      <a:off x="0" y="0"/>
                      <a:ext cx="5486400" cy="2456487"/>
                    </a:xfrm>
                    <a:prstGeom prst="rect"/>
                  </pic:spPr>
                </pic:pic>
              </a:graphicData>
            </a:graphic>
          </wp:inline>
        </w:drawing>
      </w:r>
    </w:p>
    <w:p/>
    <w:p>
      <w:pPr>
        <w:keepNext/>
        <w:widowControl/>
        <w:spacing w:after="60"/>
      </w:pPr>
      <w:r>
        <w:rPr>
          <w:b/>
          <w:color w:val="003366"/>
        </w:rPr>
        <w:t>JUAN PABLO II (000008-14)</w:t>
      </w:r>
    </w:p>
    <w:p>
      <w:r>
        <w:rPr>
          <w:b/>
        </w:rPr>
        <w:t xml:space="preserve">Consumo nocturno en el periodo: </w:t>
      </w:r>
      <w:r>
        <w:t xml:space="preserve">0,5 m³. </w:t>
      </w:r>
      <w:r>
        <w:rPr>
          <w:b/>
        </w:rPr>
        <w:t xml:space="preserve">Proyección a 30 días (24 h/día): </w:t>
      </w:r>
      <w:r>
        <w:t>7,2 m³ ($9.144 referencial).</w:t>
      </w:r>
    </w:p>
    <w:p>
      <w:r>
        <w:t>Nota: el patrón nocturno no supera el umbral del 75 % de días con consumo en madrugada; la proyección se muestra como estimación técnica a partir de la serie horaria.</w:t>
      </w:r>
    </w:p>
    <w:p>
      <w:pPr>
        <w:keepNext/>
        <w:widowControl/>
        <w:spacing w:after="60"/>
        <w:jc w:val="center"/>
      </w:pPr>
      <w:r>
        <w:drawing>
          <wp:inline xmlns:a="http://schemas.openxmlformats.org/drawingml/2006/main" xmlns:pic="http://schemas.openxmlformats.org/drawingml/2006/picture">
            <wp:extent cx="5486400" cy="2445387"/>
            <wp:docPr id="8" name="Picture 8"/>
            <wp:cNvGraphicFramePr>
              <a:graphicFrameLocks noChangeAspect="1"/>
            </wp:cNvGraphicFramePr>
            <a:graphic>
              <a:graphicData uri="http://schemas.openxmlformats.org/drawingml/2006/picture">
                <pic:pic>
                  <pic:nvPicPr>
                    <pic:cNvPr id="0" name="app_horario_000008_14.png"/>
                    <pic:cNvPicPr/>
                  </pic:nvPicPr>
                  <pic:blipFill>
                    <a:blip r:embed="rId17"/>
                    <a:stretch>
                      <a:fillRect/>
                    </a:stretch>
                  </pic:blipFill>
                  <pic:spPr>
                    <a:xfrm>
                      <a:off x="0" y="0"/>
                      <a:ext cx="5486400" cy="2445387"/>
                    </a:xfrm>
                    <a:prstGeom prst="rect"/>
                  </pic:spPr>
                </pic:pic>
              </a:graphicData>
            </a:graphic>
          </wp:inline>
        </w:drawing>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32320"/>
            <wp:docPr id="9" name="Picture 9"/>
            <wp:cNvGraphicFramePr>
              <a:graphicFrameLocks noChangeAspect="1"/>
            </wp:cNvGraphicFramePr>
            <a:graphic>
              <a:graphicData uri="http://schemas.openxmlformats.org/drawingml/2006/picture">
                <pic:pic>
                  <pic:nvPicPr>
                    <pic:cNvPr id="0" name="chart_comparacion_mensual_agregada.png"/>
                    <pic:cNvPicPr/>
                  </pic:nvPicPr>
                  <pic:blipFill>
                    <a:blip r:embed="rId18"/>
                    <a:stretch>
                      <a:fillRect/>
                    </a:stretch>
                  </pic:blipFill>
                  <pic:spPr>
                    <a:xfrm>
                      <a:off x="0" y="0"/>
                      <a:ext cx="3657600" cy="2232320"/>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proyecciones de fuga en los siguientes puntos de monitoreo: CE Valle Hermoso y Carlos Fernandez P.. Estos puntos presentan consumos nocturnos significativos que sugieren la presencia de fugas constantes durante el periodo analizado.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