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10 puntos de monitoreo</w:t>
        <w:br/>
        <w:t>Rango: 14-09-26 - 20-09-26</w:t>
        <w:br/>
        <w:t>Generado: 21-09-26</w:t>
      </w:r>
    </w:p>
    <w:p>
      <w:pPr>
        <w:jc w:val="both"/>
      </w:pPr>
      <w:r>
        <w:rPr>
          <w:color w:val="000000"/>
        </w:rPr>
        <w:t>Periodo con control especial por vacaciones (14–20/09/2026). Excluidos: Tobalaba (pulso), Eduardo de la Barra, Alicura y Likankura. Horarios: corte 24 h salvo Carlos Fernandez y Juan Bautista Pasten (obra agua 09:00–18:00 toda la semana); Luis Arrieta patinaje lun–mar 17:30–21:00 (+ habilitación mar 15 por revisión); Valle Hermoso patinaje lun y mié 17:30–21:00 (+ habilitación mié 16 ≈10:00–tarde).</w:t>
      </w:r>
    </w:p>
    <w:p/>
    <w:p>
      <w:pPr>
        <w:pStyle w:val="Heading1"/>
        <w:keepNext/>
        <w:widowControl/>
        <w:spacing w:after="60"/>
      </w:pPr>
      <w:r>
        <w:rPr>
          <w:b/>
          <w:color w:val="003366"/>
        </w:rPr>
        <w:t>RESUMEN EJECUTIVO AGREGADO</w:t>
      </w:r>
    </w:p>
    <w:p>
      <w:r>
        <w:t>Puntos de monitoreo analizados: 10.</w:t>
        <w:br/>
      </w:r>
      <w:r>
        <w:t>Consumo total agregado: 214 m³.</w:t>
        <w:br/>
      </w:r>
      <w:r>
        <w:t>Consumo promedio por punto: 21,4 m³.</w:t>
        <w:br/>
      </w:r>
      <w:r>
        <w:t>Total de alertas registradas: 22.</w:t>
        <w:br/>
      </w:r>
      <w:r>
        <w:t>Promedio de alerta agregado: 0,7 m³/h.</w:t>
        <w:br/>
      </w:r>
      <w:r>
        <w:t>Proyección diaria de consumo nocturno agregada: 17,1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5115"/>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5115"/>
                    </a:xfrm>
                    <a:prstGeom prst="rect"/>
                  </pic:spPr>
                </pic:pic>
              </a:graphicData>
            </a:graphic>
          </wp:inline>
        </w:drawing>
      </w:r>
    </w:p>
    <w:p/>
    <w:p>
      <w:pPr>
        <w:jc w:val="both"/>
      </w:pPr>
      <w:r>
        <w:rPr>
          <w:color w:val="000000"/>
        </w:rPr>
        <w:t>El análisis comparativo revela que el punto con mayor consumo es Lic. Antonio Hermida F, con un total de 101,2 m³ durante el periodo analizado. Este valor representa un 372,8% por encima del promedio (21,4 m³ por punto), indicando una demanda significativamente superior a la media. Por otro lado, el punto con menor consumo es Juan Pablo II,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363"/>
        <w:gridCol w:w="1115"/>
        <w:gridCol w:w="991"/>
        <w:gridCol w:w="1425"/>
        <w:gridCol w:w="148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 Antonio Hermida F</w:t>
            </w:r>
          </w:p>
        </w:tc>
        <w:tc>
          <w:tcPr>
            <w:tcW w:type="dxa" w:w="1440"/>
            <w:noWrap/>
          </w:tcPr>
          <w:p>
            <w:r>
              <w:t>101,2</w:t>
            </w:r>
          </w:p>
        </w:tc>
        <w:tc>
          <w:tcPr>
            <w:tcW w:type="dxa" w:w="1440"/>
            <w:noWrap/>
          </w:tcPr>
          <w:p>
            <w:r>
              <w:t>5</w:t>
            </w:r>
          </w:p>
        </w:tc>
        <w:tc>
          <w:tcPr>
            <w:tcW w:type="dxa" w:w="1440"/>
            <w:noWrap/>
          </w:tcPr>
          <w:p>
            <w:pPr>
              <w:jc w:val="left"/>
            </w:pPr>
            <w:r>
              <w:t>27,4 m³</w:t>
            </w:r>
          </w:p>
          <w:p>
            <w:pPr>
              <w:jc w:val="left"/>
            </w:pPr>
            <w:r>
              <w:t>(6 días, 85,7%)</w:t>
            </w:r>
          </w:p>
        </w:tc>
        <w:tc>
          <w:tcPr>
            <w:tcW w:type="dxa" w:w="1440"/>
            <w:noWrap/>
          </w:tcPr>
          <w:p>
            <w:pPr>
              <w:jc w:val="left"/>
            </w:pPr>
            <w:r>
              <w:t>82,2 m³</w:t>
            </w:r>
          </w:p>
          <w:p>
            <w:pPr>
              <w:jc w:val="left"/>
            </w:pPr>
            <w:r>
              <w:t>(81,2%)</w:t>
            </w:r>
          </w:p>
        </w:tc>
      </w:tr>
      <w:tr>
        <w:tc>
          <w:tcPr>
            <w:tcW w:type="dxa" w:w="1440"/>
            <w:noWrap/>
          </w:tcPr>
          <w:p>
            <w:r>
              <w:t>2</w:t>
            </w:r>
          </w:p>
        </w:tc>
        <w:tc>
          <w:tcPr>
            <w:tcW w:type="dxa" w:w="1440"/>
            <w:noWrap/>
          </w:tcPr>
          <w:p>
            <w:r>
              <w:t>Luis Arrieta Caña</w:t>
            </w:r>
          </w:p>
        </w:tc>
        <w:tc>
          <w:tcPr>
            <w:tcW w:type="dxa" w:w="1440"/>
            <w:noWrap/>
          </w:tcPr>
          <w:p>
            <w:r>
              <w:t>50,8</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3</w:t>
            </w:r>
          </w:p>
        </w:tc>
        <w:tc>
          <w:tcPr>
            <w:tcW w:type="dxa" w:w="1440"/>
            <w:noWrap/>
          </w:tcPr>
          <w:p>
            <w:r>
              <w:t>Juan Bautista Pasten</w:t>
            </w:r>
          </w:p>
        </w:tc>
        <w:tc>
          <w:tcPr>
            <w:tcW w:type="dxa" w:w="1440"/>
            <w:noWrap/>
          </w:tcPr>
          <w:p>
            <w:r>
              <w:t>39,2</w:t>
            </w:r>
          </w:p>
        </w:tc>
        <w:tc>
          <w:tcPr>
            <w:tcW w:type="dxa" w:w="1440"/>
            <w:noWrap/>
          </w:tcPr>
          <w:p>
            <w:r>
              <w:t>2</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4</w:t>
            </w:r>
          </w:p>
        </w:tc>
        <w:tc>
          <w:tcPr>
            <w:tcW w:type="dxa" w:w="1440"/>
            <w:noWrap/>
          </w:tcPr>
          <w:p>
            <w:r>
              <w:t>Carlos Fernandez P.</w:t>
            </w:r>
          </w:p>
        </w:tc>
        <w:tc>
          <w:tcPr>
            <w:tcW w:type="dxa" w:w="1440"/>
            <w:noWrap/>
          </w:tcPr>
          <w:p>
            <w:r>
              <w:t>15,5</w:t>
            </w:r>
          </w:p>
        </w:tc>
        <w:tc>
          <w:tcPr>
            <w:tcW w:type="dxa" w:w="1440"/>
            <w:noWrap/>
          </w:tcPr>
          <w:p>
            <w:r>
              <w:t>6</w:t>
            </w:r>
          </w:p>
        </w:tc>
        <w:tc>
          <w:tcPr>
            <w:tcW w:type="dxa" w:w="1440"/>
            <w:noWrap/>
          </w:tcPr>
          <w:p>
            <w:pPr>
              <w:jc w:val="left"/>
            </w:pPr>
            <w:r>
              <w:t>3,7 m³</w:t>
            </w:r>
          </w:p>
          <w:p>
            <w:pPr>
              <w:jc w:val="left"/>
            </w:pPr>
            <w:r>
              <w:t>(7 días, 100%)</w:t>
            </w:r>
          </w:p>
        </w:tc>
        <w:tc>
          <w:tcPr>
            <w:tcW w:type="dxa" w:w="1440"/>
            <w:noWrap/>
          </w:tcPr>
          <w:p>
            <w:pPr>
              <w:jc w:val="left"/>
            </w:pPr>
            <w:r>
              <w:t>11 m³</w:t>
            </w:r>
          </w:p>
          <w:p>
            <w:pPr>
              <w:jc w:val="left"/>
            </w:pPr>
            <w:r>
              <w:t>(71,1%)</w:t>
            </w:r>
          </w:p>
        </w:tc>
      </w:tr>
      <w:tr>
        <w:tc>
          <w:tcPr>
            <w:tcW w:type="dxa" w:w="1440"/>
            <w:noWrap/>
          </w:tcPr>
          <w:p>
            <w:r>
              <w:t>5</w:t>
            </w:r>
          </w:p>
        </w:tc>
        <w:tc>
          <w:tcPr>
            <w:tcW w:type="dxa" w:w="1440"/>
            <w:noWrap/>
          </w:tcPr>
          <w:p>
            <w:r>
              <w:t>Matilde Huici Navas</w:t>
            </w:r>
          </w:p>
        </w:tc>
        <w:tc>
          <w:tcPr>
            <w:tcW w:type="dxa" w:w="1440"/>
            <w:noWrap/>
          </w:tcPr>
          <w:p>
            <w:r>
              <w:t>5,3</w:t>
            </w:r>
          </w:p>
        </w:tc>
        <w:tc>
          <w:tcPr>
            <w:tcW w:type="dxa" w:w="1440"/>
            <w:noWrap/>
          </w:tcPr>
          <w:p>
            <w:r>
              <w:t>7</w:t>
            </w:r>
          </w:p>
        </w:tc>
        <w:tc>
          <w:tcPr>
            <w:tcW w:type="dxa" w:w="1440"/>
            <w:noWrap/>
          </w:tcPr>
          <w:p>
            <w:pPr>
              <w:jc w:val="left"/>
            </w:pPr>
            <w:r>
              <w:t>2,6 m³</w:t>
            </w:r>
          </w:p>
          <w:p>
            <w:pPr>
              <w:jc w:val="left"/>
            </w:pPr>
            <w:r>
              <w:t>(4 días, 57,1%)</w:t>
            </w:r>
          </w:p>
        </w:tc>
        <w:tc>
          <w:tcPr>
            <w:tcW w:type="dxa" w:w="1440"/>
            <w:noWrap/>
          </w:tcPr>
          <w:p>
            <w:pPr>
              <w:jc w:val="left"/>
            </w:pPr>
            <w:r>
              <w:t>0,0 m³</w:t>
            </w:r>
          </w:p>
          <w:p>
            <w:pPr>
              <w:jc w:val="left"/>
            </w:pPr>
            <w:r>
              <w:t>(0,0%)</w:t>
            </w:r>
          </w:p>
        </w:tc>
      </w:tr>
      <w:tr>
        <w:tc>
          <w:tcPr>
            <w:tcW w:type="dxa" w:w="1440"/>
            <w:noWrap/>
          </w:tcPr>
          <w:p>
            <w:r>
              <w:t>6</w:t>
            </w:r>
          </w:p>
        </w:tc>
        <w:tc>
          <w:tcPr>
            <w:tcW w:type="dxa" w:w="1440"/>
            <w:noWrap/>
          </w:tcPr>
          <w:p>
            <w:r>
              <w:t>CE Valle Hermoso</w:t>
            </w:r>
          </w:p>
        </w:tc>
        <w:tc>
          <w:tcPr>
            <w:tcW w:type="dxa" w:w="1440"/>
            <w:noWrap/>
          </w:tcPr>
          <w:p>
            <w:r>
              <w:t>1,8</w:t>
            </w:r>
          </w:p>
        </w:tc>
        <w:tc>
          <w:tcPr>
            <w:tcW w:type="dxa" w:w="1440"/>
            <w:noWrap/>
          </w:tcPr>
          <w:p>
            <w:r>
              <w:t>2</w:t>
            </w:r>
          </w:p>
        </w:tc>
        <w:tc>
          <w:tcPr>
            <w:tcW w:type="dxa" w:w="1440"/>
            <w:noWrap/>
          </w:tcPr>
          <w:p>
            <w:pPr>
              <w:jc w:val="left"/>
            </w:pPr>
            <w:r>
              <w:t>0,2 m³</w:t>
            </w:r>
          </w:p>
          <w:p>
            <w:pPr>
              <w:jc w:val="left"/>
            </w:pPr>
            <w:r>
              <w:t>(1 días, 14,3%)</w:t>
            </w:r>
          </w:p>
        </w:tc>
        <w:tc>
          <w:tcPr>
            <w:tcW w:type="dxa" w:w="1440"/>
            <w:noWrap/>
          </w:tcPr>
          <w:p>
            <w:pPr>
              <w:jc w:val="left"/>
            </w:pPr>
            <w:r>
              <w:t>0,0 m³</w:t>
            </w:r>
          </w:p>
          <w:p>
            <w:pPr>
              <w:jc w:val="left"/>
            </w:pPr>
            <w:r>
              <w:t>(0,0%)</w:t>
            </w:r>
          </w:p>
        </w:tc>
      </w:tr>
      <w:tr>
        <w:tc>
          <w:tcPr>
            <w:tcW w:type="dxa" w:w="1440"/>
            <w:noWrap/>
          </w:tcPr>
          <w:p>
            <w:r>
              <w:t>7</w:t>
            </w:r>
          </w:p>
        </w:tc>
        <w:tc>
          <w:tcPr>
            <w:tcW w:type="dxa" w:w="1440"/>
            <w:noWrap/>
          </w:tcPr>
          <w:p>
            <w:r>
              <w:t>Unión Nacional Árabe</w:t>
            </w:r>
          </w:p>
        </w:tc>
        <w:tc>
          <w:tcPr>
            <w:tcW w:type="dxa" w:w="1440"/>
            <w:noWrap/>
          </w:tcPr>
          <w:p>
            <w:r>
              <w:t>0,2</w:t>
            </w:r>
          </w:p>
        </w:tc>
        <w:tc>
          <w:tcPr>
            <w:tcW w:type="dxa" w:w="1440"/>
            <w:noWrap/>
          </w:tcPr>
          <w:p>
            <w:r>
              <w:t>0</w:t>
            </w:r>
          </w:p>
        </w:tc>
        <w:tc>
          <w:tcPr>
            <w:tcW w:type="dxa" w:w="1440"/>
            <w:noWrap/>
          </w:tcPr>
          <w:p>
            <w:pPr>
              <w:jc w:val="left"/>
            </w:pPr>
            <w:r>
              <w:t>0 m³</w:t>
            </w:r>
          </w:p>
          <w:p>
            <w:pPr>
              <w:jc w:val="left"/>
            </w:pPr>
            <w:r>
              <w:t>(2 días, 28,6%)</w:t>
            </w:r>
          </w:p>
        </w:tc>
        <w:tc>
          <w:tcPr>
            <w:tcW w:type="dxa" w:w="1440"/>
            <w:noWrap/>
          </w:tcPr>
          <w:p>
            <w:pPr>
              <w:jc w:val="left"/>
            </w:pPr>
            <w:r>
              <w:t>0,0 m³</w:t>
            </w:r>
          </w:p>
          <w:p>
            <w:pPr>
              <w:jc w:val="left"/>
            </w:pPr>
            <w:r>
              <w:t>(0,0%)</w:t>
            </w:r>
          </w:p>
        </w:tc>
      </w:tr>
      <w:tr>
        <w:tc>
          <w:tcPr>
            <w:tcW w:type="dxa" w:w="1440"/>
            <w:noWrap/>
          </w:tcPr>
          <w:p>
            <w:r>
              <w:t>8</w:t>
            </w:r>
          </w:p>
        </w:tc>
        <w:tc>
          <w:tcPr>
            <w:tcW w:type="dxa" w:w="1440"/>
            <w:noWrap/>
          </w:tcPr>
          <w:p>
            <w:r>
              <w:t>Erasmo Escala</w:t>
            </w:r>
          </w:p>
        </w:tc>
        <w:tc>
          <w:tcPr>
            <w:tcW w:type="dxa" w:w="1440"/>
            <w:noWrap/>
          </w:tcPr>
          <w:p>
            <w:r>
              <w:t>0,1</w:t>
            </w:r>
          </w:p>
        </w:tc>
        <w:tc>
          <w:tcPr>
            <w:tcW w:type="dxa" w:w="1440"/>
            <w:noWrap/>
          </w:tcPr>
          <w:p>
            <w:r>
              <w:t>0</w:t>
            </w:r>
          </w:p>
        </w:tc>
        <w:tc>
          <w:tcPr>
            <w:tcW w:type="dxa" w:w="1440"/>
            <w:noWrap/>
          </w:tcPr>
          <w:p>
            <w:pPr>
              <w:jc w:val="left"/>
            </w:pPr>
            <w:r>
              <w:t>0 m³</w:t>
            </w:r>
          </w:p>
          <w:p>
            <w:pPr>
              <w:jc w:val="left"/>
            </w:pPr>
            <w:r>
              <w:t>(1 días, 14,3%)</w:t>
            </w:r>
          </w:p>
        </w:tc>
        <w:tc>
          <w:tcPr>
            <w:tcW w:type="dxa" w:w="1440"/>
            <w:noWrap/>
          </w:tcPr>
          <w:p>
            <w:pPr>
              <w:jc w:val="left"/>
            </w:pPr>
            <w:r>
              <w:t>0,0 m³</w:t>
            </w:r>
          </w:p>
          <w:p>
            <w:pPr>
              <w:jc w:val="left"/>
            </w:pPr>
            <w:r>
              <w:t>(0,0%)</w:t>
            </w:r>
          </w:p>
        </w:tc>
      </w:tr>
      <w:tr>
        <w:tc>
          <w:tcPr>
            <w:tcW w:type="dxa" w:w="1440"/>
            <w:noWrap/>
          </w:tcPr>
          <w:p>
            <w:r>
              <w:t>9</w:t>
            </w:r>
          </w:p>
        </w:tc>
        <w:tc>
          <w:tcPr>
            <w:tcW w:type="dxa" w:w="1440"/>
            <w:noWrap/>
          </w:tcPr>
          <w:p>
            <w:r>
              <w:t>Santa Maria</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10</w:t>
            </w:r>
          </w:p>
        </w:tc>
        <w:tc>
          <w:tcPr>
            <w:tcW w:type="dxa" w:w="1440"/>
            <w:noWrap/>
          </w:tcPr>
          <w:p>
            <w:r>
              <w:t>Juan Pablo II</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214</w:t>
            </w:r>
          </w:p>
        </w:tc>
        <w:tc>
          <w:tcPr>
            <w:tcW w:type="dxa" w:w="1440"/>
            <w:noWrap/>
            <w:shd w:val="clear" w:fill="FFE6E6"/>
          </w:tcPr>
          <w:p>
            <w:pPr>
              <w:jc w:val="left"/>
            </w:pPr>
            <w:r>
              <w:rPr>
                <w:b/>
                <w:color w:val="FF0000"/>
              </w:rPr>
              <w:t>22</w:t>
            </w:r>
          </w:p>
        </w:tc>
        <w:tc>
          <w:tcPr>
            <w:tcW w:type="dxa" w:w="1440"/>
            <w:noWrap/>
            <w:shd w:val="clear" w:fill="FFE6E6"/>
          </w:tcPr>
          <w:p>
            <w:pPr>
              <w:jc w:val="left"/>
            </w:pPr>
            <w:r>
              <w:rPr>
                <w:b/>
                <w:color w:val="FF0000"/>
              </w:rPr>
              <w:t>33,9 m³</w:t>
            </w:r>
          </w:p>
        </w:tc>
        <w:tc>
          <w:tcPr>
            <w:tcW w:type="dxa" w:w="1440"/>
            <w:noWrap/>
            <w:shd w:val="clear" w:fill="FFE6E6"/>
          </w:tcPr>
          <w:p>
            <w:pPr>
              <w:jc w:val="left"/>
            </w:pPr>
            <w:r>
              <w:rPr>
                <w:b/>
                <w:color w:val="FF0000"/>
              </w:rPr>
              <w:t>93,2 m³</w:t>
            </w:r>
          </w:p>
        </w:tc>
      </w:tr>
    </w:tbl>
    <w:p/>
    <w:p>
      <w:pPr>
        <w:keepNext/>
        <w:widowControl/>
        <w:spacing w:after="60"/>
        <w:jc w:val="center"/>
      </w:pPr>
      <w:r>
        <w:drawing>
          <wp:inline xmlns:a="http://schemas.openxmlformats.org/drawingml/2006/main" xmlns:pic="http://schemas.openxmlformats.org/drawingml/2006/picture">
            <wp:extent cx="5486400" cy="3427836"/>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27836"/>
                    </a:xfrm>
                    <a:prstGeom prst="rect"/>
                  </pic:spPr>
                </pic:pic>
              </a:graphicData>
            </a:graphic>
          </wp:inline>
        </w:drawing>
      </w:r>
    </w:p>
    <w:p/>
    <w:p>
      <w:pPr>
        <w:keepNext/>
        <w:widowControl/>
        <w:spacing w:after="60"/>
      </w:pPr>
      <w:r>
        <w:rPr>
          <w:b/>
          <w:color w:val="003366"/>
        </w:rPr>
        <w:t>DÍA CON MAYOR CONSUMO NOCTURNO - LIC. ANTONIO HERMIDA F (20-09-26):</w:t>
      </w:r>
    </w:p>
    <w:p>
      <w:pPr>
        <w:keepNext/>
        <w:widowControl/>
        <w:spacing w:after="60"/>
        <w:jc w:val="center"/>
      </w:pPr>
      <w:r>
        <w:drawing>
          <wp:inline xmlns:a="http://schemas.openxmlformats.org/drawingml/2006/main" xmlns:pic="http://schemas.openxmlformats.org/drawingml/2006/picture">
            <wp:extent cx="5486400" cy="2713624"/>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13624"/>
                    </a:xfrm>
                    <a:prstGeom prst="rect"/>
                  </pic:spPr>
                </pic:pic>
              </a:graphicData>
            </a:graphic>
          </wp:inline>
        </w:drawing>
      </w:r>
    </w:p>
    <w:p>
      <w:pPr>
        <w:jc w:val="both"/>
      </w:pPr>
      <w:r>
        <w:rPr>
          <w:color w:val="000000"/>
        </w:rPr>
        <w:t>El nodo Lic. Antonio Hermida F registró 5 alerta(s) durante 4 día(s) del periodo analizado. La periodicidad de las alertas es regular (más del 50% de los días). Se identificó una proyección de filtración de 82,2 m³ ($104.394), lo que indica un patrón de fuga constante durante el periodo.</w:t>
      </w:r>
    </w:p>
    <w:p/>
    <w:p>
      <w:pPr>
        <w:keepNext/>
        <w:widowControl/>
        <w:spacing w:after="60"/>
      </w:pPr>
      <w:r>
        <w:rPr>
          <w:b/>
          <w:color w:val="003366"/>
        </w:rPr>
        <w:t>DÍA CON MAYOR CONSUMO NOCTURNO - CARLOS FERNANDEZ P. (15-09-26):</w:t>
      </w:r>
    </w:p>
    <w:p>
      <w:pPr>
        <w:keepNext/>
        <w:widowControl/>
        <w:spacing w:after="60"/>
        <w:jc w:val="center"/>
      </w:pPr>
      <w:r>
        <w:drawing>
          <wp:inline xmlns:a="http://schemas.openxmlformats.org/drawingml/2006/main" xmlns:pic="http://schemas.openxmlformats.org/drawingml/2006/picture">
            <wp:extent cx="5486400" cy="2713624"/>
            <wp:docPr id="4" name="Picture 4"/>
            <wp:cNvGraphicFramePr>
              <a:graphicFrameLocks noChangeAspect="1"/>
            </wp:cNvGraphicFramePr>
            <a:graphic>
              <a:graphicData uri="http://schemas.openxmlformats.org/drawingml/2006/picture">
                <pic:pic>
                  <pic:nvPicPr>
                    <pic:cNvPr id="0" name="chart_max_nocturnal_000008_03.png"/>
                    <pic:cNvPicPr/>
                  </pic:nvPicPr>
                  <pic:blipFill>
                    <a:blip r:embed="rId13"/>
                    <a:stretch>
                      <a:fillRect/>
                    </a:stretch>
                  </pic:blipFill>
                  <pic:spPr>
                    <a:xfrm>
                      <a:off x="0" y="0"/>
                      <a:ext cx="5486400" cy="2713624"/>
                    </a:xfrm>
                    <a:prstGeom prst="rect"/>
                  </pic:spPr>
                </pic:pic>
              </a:graphicData>
            </a:graphic>
          </wp:inline>
        </w:drawing>
      </w:r>
    </w:p>
    <w:p>
      <w:pPr>
        <w:jc w:val="both"/>
      </w:pPr>
      <w:r>
        <w:rPr>
          <w:color w:val="000000"/>
        </w:rPr>
        <w:t>El nodo Carlos Fernandez P. registró 6 alerta(s) durante 6 día(s) del periodo analizado. La periodicidad de las alertas es frecuente (más del 80% de los días). Se identificó una proyección de filtración de 11 m³ ($13.983), lo que indica un patrón de fuga constante durante el periodo.</w:t>
      </w:r>
    </w:p>
    <w:p/>
    <w:p>
      <w:pPr>
        <w:keepNext/>
        <w:widowControl/>
        <w:spacing w:after="60"/>
      </w:pPr>
      <w:r>
        <w:rPr>
          <w:b/>
          <w:color w:val="003366"/>
        </w:rPr>
        <w:t>DÍA CON MAYOR CONSUMO NOCTURNO - MATILDE HUICI NAVAS (19-09-26):</w:t>
      </w:r>
    </w:p>
    <w:p>
      <w:pPr>
        <w:keepNext/>
        <w:widowControl/>
        <w:spacing w:after="60"/>
        <w:jc w:val="center"/>
      </w:pPr>
      <w:r>
        <w:drawing>
          <wp:inline xmlns:a="http://schemas.openxmlformats.org/drawingml/2006/main" xmlns:pic="http://schemas.openxmlformats.org/drawingml/2006/picture">
            <wp:extent cx="5486400" cy="2713624"/>
            <wp:docPr id="5" name="Picture 5"/>
            <wp:cNvGraphicFramePr>
              <a:graphicFrameLocks noChangeAspect="1"/>
            </wp:cNvGraphicFramePr>
            <a:graphic>
              <a:graphicData uri="http://schemas.openxmlformats.org/drawingml/2006/picture">
                <pic:pic>
                  <pic:nvPicPr>
                    <pic:cNvPr id="0" name="chart_max_nocturnal_000008_10.png"/>
                    <pic:cNvPicPr/>
                  </pic:nvPicPr>
                  <pic:blipFill>
                    <a:blip r:embed="rId14"/>
                    <a:stretch>
                      <a:fillRect/>
                    </a:stretch>
                  </pic:blipFill>
                  <pic:spPr>
                    <a:xfrm>
                      <a:off x="0" y="0"/>
                      <a:ext cx="5486400" cy="2713624"/>
                    </a:xfrm>
                    <a:prstGeom prst="rect"/>
                  </pic:spPr>
                </pic:pic>
              </a:graphicData>
            </a:graphic>
          </wp:inline>
        </w:drawing>
      </w:r>
    </w:p>
    <w:p>
      <w:pPr>
        <w:jc w:val="both"/>
      </w:pPr>
      <w:r>
        <w:rPr>
          <w:color w:val="000000"/>
        </w:rPr>
        <w:t>El nodo Matilde Huici Navas registró 7 alerta(s) durante 4 día(s) del periodo analizado. La periodicidad de las alertas es regular (más del 50% de los días).</w:t>
      </w:r>
    </w:p>
    <w:p/>
    <w:p>
      <w:pPr>
        <w:keepNext/>
        <w:widowControl/>
        <w:spacing w:after="60"/>
      </w:pPr>
      <w:r>
        <w:rPr>
          <w:b/>
          <w:color w:val="003366"/>
        </w:rPr>
        <w:t>DÍA CON MAYOR CONSUMO NOCTURNO - CE VALLE HERMOSO (20-09-26):</w:t>
      </w:r>
    </w:p>
    <w:p>
      <w:pPr>
        <w:keepNext/>
        <w:widowControl/>
        <w:spacing w:after="60"/>
        <w:jc w:val="center"/>
      </w:pPr>
      <w:r>
        <w:drawing>
          <wp:inline xmlns:a="http://schemas.openxmlformats.org/drawingml/2006/main" xmlns:pic="http://schemas.openxmlformats.org/drawingml/2006/picture">
            <wp:extent cx="5486400" cy="2713624"/>
            <wp:docPr id="6" name="Picture 6"/>
            <wp:cNvGraphicFramePr>
              <a:graphicFrameLocks noChangeAspect="1"/>
            </wp:cNvGraphicFramePr>
            <a:graphic>
              <a:graphicData uri="http://schemas.openxmlformats.org/drawingml/2006/picture">
                <pic:pic>
                  <pic:nvPicPr>
                    <pic:cNvPr id="0" name="chart_max_nocturnal_000008_11.png"/>
                    <pic:cNvPicPr/>
                  </pic:nvPicPr>
                  <pic:blipFill>
                    <a:blip r:embed="rId15"/>
                    <a:stretch>
                      <a:fillRect/>
                    </a:stretch>
                  </pic:blipFill>
                  <pic:spPr>
                    <a:xfrm>
                      <a:off x="0" y="0"/>
                      <a:ext cx="5486400" cy="2713624"/>
                    </a:xfrm>
                    <a:prstGeom prst="rect"/>
                  </pic:spPr>
                </pic:pic>
              </a:graphicData>
            </a:graphic>
          </wp:inline>
        </w:drawing>
      </w:r>
    </w:p>
    <w:p>
      <w:pPr>
        <w:jc w:val="both"/>
      </w:pPr>
      <w:r>
        <w:rPr>
          <w:color w:val="000000"/>
        </w:rPr>
        <w:t>El nodo CE Valle Hermoso registró 2 alerta(s) durante 2 día(s) del periodo analizado. La periodicidad de las alertas es intermitente (más del 20% de los días).</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ERASMO ESCALA (000008-07)</w:t>
      </w:r>
    </w:p>
    <w:p>
      <w:r>
        <w:rPr>
          <w:b/>
        </w:rPr>
        <w:t xml:space="preserve">Consumo nocturno en el periodo: </w:t>
      </w:r>
      <w:r>
        <w:t xml:space="preserve">0 m³. </w:t>
      </w:r>
      <w:r>
        <w:rPr>
          <w:b/>
        </w:rPr>
        <w:t xml:space="preserve">Proyección a 30 días (24 h/día): </w:t>
      </w:r>
      <w:r>
        <w:t>0,1 m³ ($187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7" name="Picture 7"/>
            <wp:cNvGraphicFramePr>
              <a:graphicFrameLocks noChangeAspect="1"/>
            </wp:cNvGraphicFramePr>
            <a:graphic>
              <a:graphicData uri="http://schemas.openxmlformats.org/drawingml/2006/picture">
                <pic:pic>
                  <pic:nvPicPr>
                    <pic:cNvPr id="0" name="app_horario_000008_07.png"/>
                    <pic:cNvPicPr/>
                  </pic:nvPicPr>
                  <pic:blipFill>
                    <a:blip r:embed="rId16"/>
                    <a:stretch>
                      <a:fillRect/>
                    </a:stretch>
                  </pic:blipFill>
                  <pic:spPr>
                    <a:xfrm>
                      <a:off x="0" y="0"/>
                      <a:ext cx="5486400" cy="2445387"/>
                    </a:xfrm>
                    <a:prstGeom prst="rect"/>
                  </pic:spPr>
                </pic:pic>
              </a:graphicData>
            </a:graphic>
          </wp:inline>
        </w:drawing>
      </w:r>
    </w:p>
    <w:p/>
    <w:p>
      <w:pPr>
        <w:keepNext/>
        <w:widowControl/>
        <w:spacing w:after="60"/>
      </w:pPr>
      <w:r>
        <w:rPr>
          <w:b/>
          <w:color w:val="003366"/>
        </w:rPr>
        <w:t>UNIÓN NACIONAL ÁRABE (000008-12)</w:t>
      </w:r>
    </w:p>
    <w:p>
      <w:r>
        <w:rPr>
          <w:b/>
        </w:rPr>
        <w:t xml:space="preserve">Consumo nocturno en el periodo: </w:t>
      </w:r>
      <w:r>
        <w:t xml:space="preserve">0 m³. </w:t>
      </w:r>
      <w:r>
        <w:rPr>
          <w:b/>
        </w:rPr>
        <w:t xml:space="preserve">Proyección a 30 días (24 h/día): </w:t>
      </w:r>
      <w:r>
        <w:t>0,6 m³ ($746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56487"/>
            <wp:docPr id="8" name="Picture 8"/>
            <wp:cNvGraphicFramePr>
              <a:graphicFrameLocks noChangeAspect="1"/>
            </wp:cNvGraphicFramePr>
            <a:graphic>
              <a:graphicData uri="http://schemas.openxmlformats.org/drawingml/2006/picture">
                <pic:pic>
                  <pic:nvPicPr>
                    <pic:cNvPr id="0" name="app_horario_000008_12.png"/>
                    <pic:cNvPicPr/>
                  </pic:nvPicPr>
                  <pic:blipFill>
                    <a:blip r:embed="rId17"/>
                    <a:stretch>
                      <a:fillRect/>
                    </a:stretch>
                  </pic:blipFill>
                  <pic:spPr>
                    <a:xfrm>
                      <a:off x="0" y="0"/>
                      <a:ext cx="5486400" cy="24564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32320"/>
            <wp:docPr id="9" name="Picture 9"/>
            <wp:cNvGraphicFramePr>
              <a:graphicFrameLocks noChangeAspect="1"/>
            </wp:cNvGraphicFramePr>
            <a:graphic>
              <a:graphicData uri="http://schemas.openxmlformats.org/drawingml/2006/picture">
                <pic:pic>
                  <pic:nvPicPr>
                    <pic:cNvPr id="0" name="chart_comparacion_mensual_agregada.png"/>
                    <pic:cNvPicPr/>
                  </pic:nvPicPr>
                  <pic:blipFill>
                    <a:blip r:embed="rId18"/>
                    <a:stretch>
                      <a:fillRect/>
                    </a:stretch>
                  </pic:blipFill>
                  <pic:spPr>
                    <a:xfrm>
                      <a:off x="0" y="0"/>
                      <a:ext cx="3657600" cy="2232320"/>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Lic. Antonio Hermida F y Carlos Fernandez P..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