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  <w:sz w:val="44"/>
        </w:rPr>
        <w:t>Reporte Comparativo — CORMUP (Peñalolén)</w:t>
      </w:r>
    </w:p>
    <w:p>
      <w:pPr>
        <w:jc w:val="center"/>
      </w:pPr>
      <w:r>
        <w:rPr>
          <w:sz w:val="20"/>
        </w:rPr>
        <w:t>MONITOREO WES</w:t>
        <w:br/>
        <w:t>Análisis consolidado de vacaciones de Fiestas Patrias — colegios con control hidráulico</w:t>
        <w:br/>
        <w:t>Periodo sin control: 07-09-26 – 13-09-26</w:t>
        <w:br/>
        <w:t>Periodo con control especial: 14-09-26 – 20-09-26</w:t>
        <w:br/>
        <w:t>Precio de referencia: 1.270 CLP/m³  |  Generado: 21-09-2026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1. RESUMEN EJECUTIVO</w:t>
      </w:r>
    </w:p>
    <w:p>
      <w:pPr>
        <w:jc w:val="both"/>
      </w:pPr>
      <w:r>
        <w:t>El presente informe compara el consumo hídrico de 10 colegios CORMUP de Peñalolén durante dos semanas consecutivas de igual duración (7 días): una semana previa sin control de vacaciones (07/09/2026–13/09/2026) y la semana con control especial por vacaciones de alumnos (14/09/2026–20/09/2026). La valorización económica utiliza el precio de referencia del servicio (1.270 CLP/m³).</w:t>
      </w:r>
    </w:p>
    <w:p>
      <w:pPr>
        <w:jc w:val="both"/>
      </w:pPr>
      <w:r>
        <w:t>Consumo semana sin control: 2.349,3 m³ ($2.983.662).</w:t>
        <w:br/>
        <w:t>Consumo semana con control vacaciones: 214 m³ ($271.818).</w:t>
        <w:br/>
        <w:t>Ahorro volumétrico: 2.135,3 m³ (90,9 %).</w:t>
        <w:br/>
        <w:t>Ahorro económico estimado: $2.711.844.</w:t>
      </w:r>
    </w:p>
    <w:p>
      <w:pPr>
        <w:jc w:val="both"/>
      </w:pPr>
      <w:r>
        <w:t>La semana con control no correspondió a un corte 24 h uniforme: se mantuvieron habilitaciones por obras, uso de patinaje y revisiones puntuales acordadas con el cliente. Dichos consumos esperados forman parte del resultado y deben interpretarse como uso autorizado, no como falla del control.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2. ALCANCE DEL ANÁLISIS</w:t>
      </w:r>
    </w:p>
    <w:p>
      <w:r>
        <w:t>Se incluyen los 10 establecimientos con equipo de control hidráulico operativo durante el periodo de vacaciones:</w:t>
      </w:r>
    </w:p>
    <w:p>
      <w:pPr>
        <w:pStyle w:val="ListBullet"/>
      </w:pPr>
      <w:r>
        <w:t>Lic. Antonio Hermida F</w:t>
      </w:r>
    </w:p>
    <w:p>
      <w:pPr>
        <w:pStyle w:val="ListBullet"/>
      </w:pPr>
      <w:r>
        <w:t>Carlos Fernandez P.</w:t>
      </w:r>
    </w:p>
    <w:p>
      <w:pPr>
        <w:pStyle w:val="ListBullet"/>
      </w:pPr>
      <w:r>
        <w:t>Santa Maria</w:t>
      </w:r>
    </w:p>
    <w:p>
      <w:pPr>
        <w:pStyle w:val="ListBullet"/>
      </w:pPr>
      <w:r>
        <w:t>Luis Arrieta Caña</w:t>
      </w:r>
    </w:p>
    <w:p>
      <w:pPr>
        <w:pStyle w:val="ListBullet"/>
      </w:pPr>
      <w:r>
        <w:t>Erasmo Escala</w:t>
      </w:r>
    </w:p>
    <w:p>
      <w:pPr>
        <w:pStyle w:val="ListBullet"/>
      </w:pPr>
      <w:r>
        <w:t>Juan Bautista Pasten</w:t>
      </w:r>
    </w:p>
    <w:p>
      <w:pPr>
        <w:pStyle w:val="ListBullet"/>
      </w:pPr>
      <w:r>
        <w:t>Matilde Huici Navas</w:t>
      </w:r>
    </w:p>
    <w:p>
      <w:pPr>
        <w:pStyle w:val="ListBullet"/>
      </w:pPr>
      <w:r>
        <w:t>CE Valle Hermoso</w:t>
      </w:r>
    </w:p>
    <w:p>
      <w:pPr>
        <w:pStyle w:val="ListBullet"/>
      </w:pPr>
      <w:r>
        <w:t>Unión Nacional Árabe</w:t>
      </w:r>
    </w:p>
    <w:p>
      <w:pPr>
        <w:pStyle w:val="ListBullet"/>
      </w:pPr>
      <w:r>
        <w:t>Juan Pablo II</w:t>
      </w:r>
    </w:p>
    <w:p>
      <w:pPr>
        <w:jc w:val="both"/>
      </w:pPr>
      <w:r>
        <w:t>Quedan fuera del total de ahorro: (i) Tobalaba, por anomalía de pulso del medidor — pendiente de revisión técnica; y (ii) Eduardo de la Barra, Alicura y Likankura, establecimientos que solo cuentan con monitoreo y no disponen de válvula de control. Su situación se detalla en las secciones 6 y 7.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3. PROGRAMA DE CONTROL ESPECIAL (14–20/09/2026)</w:t>
      </w:r>
    </w:p>
    <w:p>
      <w:pPr>
        <w:jc w:val="both"/>
      </w:pPr>
      <w:r>
        <w:t>Según lo solicitado y confirmado para el periodo de vacaciones, el programa aplicado fue:</w:t>
      </w:r>
    </w:p>
    <w:p>
      <w:pPr>
        <w:pStyle w:val="ListBullet"/>
      </w:pPr>
      <w:r>
        <w:t>Lic. Antonio Hermida F: corte programado (24 h).</w:t>
      </w:r>
    </w:p>
    <w:p>
      <w:pPr>
        <w:pStyle w:val="ListBullet"/>
      </w:pPr>
      <w:r>
        <w:t>Carlos Fernandez P.: obras — agua habilitada toda la semana (incluye sáb/dom) 09:00–18:00.</w:t>
      </w:r>
    </w:p>
    <w:p>
      <w:pPr>
        <w:pStyle w:val="ListBullet"/>
      </w:pPr>
      <w:r>
        <w:t>Santa Maria: corte programado (24 h).</w:t>
      </w:r>
    </w:p>
    <w:p>
      <w:pPr>
        <w:pStyle w:val="ListBullet"/>
      </w:pPr>
      <w:r>
        <w:t>Luis Arrieta Caña: patinaje lun–mar 17:30–21:00; martes 15/09 habilitación adicional por revisión del colegio.</w:t>
      </w:r>
    </w:p>
    <w:p>
      <w:pPr>
        <w:pStyle w:val="ListBullet"/>
      </w:pPr>
      <w:r>
        <w:t>Erasmo Escala: corte programado (24 h).</w:t>
      </w:r>
    </w:p>
    <w:p>
      <w:pPr>
        <w:pStyle w:val="ListBullet"/>
      </w:pPr>
      <w:r>
        <w:t>Juan Bautista Pasten: obras — agua habilitada toda la semana (incluye sáb/dom) 09:00–18:00.</w:t>
      </w:r>
    </w:p>
    <w:p>
      <w:pPr>
        <w:pStyle w:val="ListBullet"/>
      </w:pPr>
      <w:r>
        <w:t>Matilde Huici Navas: corte programado (24 h).</w:t>
      </w:r>
    </w:p>
    <w:p>
      <w:pPr>
        <w:pStyle w:val="ListBullet"/>
      </w:pPr>
      <w:r>
        <w:t>CE Valle Hermoso: patinaje lun y mié 17:30–21:00; miércoles 16/09 habilitación especial ≈10:00–tarde.</w:t>
      </w:r>
    </w:p>
    <w:p>
      <w:pPr>
        <w:pStyle w:val="ListBullet"/>
      </w:pPr>
      <w:r>
        <w:t>Unión Nacional Árabe: corte programado (24 h).</w:t>
      </w:r>
    </w:p>
    <w:p>
      <w:pPr>
        <w:pStyle w:val="ListBullet"/>
      </w:pPr>
      <w:r>
        <w:t>Juan Pablo II: corte programado (24 h).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4. COMPARACIÓN POR COLEGIO — VOLUMEN Y VALORIZACIÓN</w:t>
      </w:r>
    </w:p>
    <w:p>
      <w:pPr>
        <w:jc w:val="both"/>
      </w:pPr>
      <w:r>
        <w:t>La siguiente tabla ordena los colegios de mayor a menor ahorro volumétrico. Las columnas de costo expresan el consumo de cada semana valorizado al precio de referencia (1.270 CLP/m³).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W w:type="dxa" w:w="9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9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Colegio</w:t>
            </w:r>
          </w:p>
        </w:tc>
        <w:tc>
          <w:tcPr>
            <w:tcW w:type="dxa" w:w="9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Sin control</w:t>
              <w:br/>
              <w:t>(m³)</w:t>
            </w:r>
          </w:p>
        </w:tc>
        <w:tc>
          <w:tcPr>
            <w:tcW w:type="dxa" w:w="9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 control</w:t>
              <w:br/>
              <w:t>(m³)</w:t>
            </w:r>
          </w:p>
        </w:tc>
        <w:tc>
          <w:tcPr>
            <w:tcW w:type="dxa" w:w="9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Ahorro</w:t>
              <w:br/>
              <w:t>(m³)</w:t>
            </w:r>
          </w:p>
        </w:tc>
        <w:tc>
          <w:tcPr>
            <w:tcW w:type="dxa" w:w="9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Ahorro</w:t>
              <w:br/>
              <w:t>(%)</w:t>
            </w:r>
          </w:p>
        </w:tc>
        <w:tc>
          <w:tcPr>
            <w:tcW w:type="dxa" w:w="9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sin</w:t>
              <w:br/>
              <w:t>(CLP)</w:t>
            </w:r>
          </w:p>
        </w:tc>
        <w:tc>
          <w:tcPr>
            <w:tcW w:type="dxa" w:w="9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con</w:t>
              <w:br/>
              <w:t>(CLP)</w:t>
            </w:r>
          </w:p>
        </w:tc>
        <w:tc>
          <w:tcPr>
            <w:tcW w:type="dxa" w:w="9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Ahorro</w:t>
              <w:br/>
              <w:t>(CLP)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Unión Nacional Árabe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710,3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0,2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710,1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100 %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$902.081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$254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$901.827</w:t>
            </w:r>
          </w:p>
        </w:tc>
      </w:tr>
      <w:tr>
        <w:trPr>
          <w:cantSplit/>
        </w:trPr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Lic. Antonio Hermida F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584,4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101,2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483,2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82,7 %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$742.188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$128.524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$613.664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Luis Arrieta Caña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418,8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50,8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368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87,9 %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$531.876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$64.516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$467.360</w:t>
            </w:r>
          </w:p>
        </w:tc>
      </w:tr>
      <w:tr>
        <w:trPr>
          <w:cantSplit/>
        </w:trPr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Santa Maria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170,4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170,4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100 %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$216.459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$51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$216.408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CE Valle Hermoso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144,2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1,8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142,5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98,8 %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$183.198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$2.222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$180.975</w:t>
            </w:r>
          </w:p>
        </w:tc>
      </w:tr>
      <w:tr>
        <w:trPr>
          <w:cantSplit/>
        </w:trPr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Carlos Fernandez P.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117,6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15,5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102,1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86,8 %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$149.327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$19.672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$129.654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Juan Bautista Pasten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128,4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39,2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89,2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69,5 %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$163.068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$49.784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$113.284</w:t>
            </w:r>
          </w:p>
        </w:tc>
      </w:tr>
      <w:tr>
        <w:trPr>
          <w:cantSplit/>
        </w:trPr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Matilde Huici Navas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33,8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5,3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28,5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84,3 %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$42.926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$6.731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$36.195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Juan Pablo II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27,1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27,1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100 %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$34.404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$0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$34.404</w:t>
            </w:r>
          </w:p>
        </w:tc>
      </w:tr>
      <w:tr>
        <w:trPr>
          <w:cantSplit/>
        </w:trPr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Erasmo Escala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14,3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0,1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14,2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99,6 %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$18.136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$64</w:t>
            </w:r>
          </w:p>
        </w:tc>
        <w:tc>
          <w:tcPr>
            <w:tcW w:type="dxa" w:w="960"/>
            <w:shd w:val="clear" w:fill="F2F6FC"/>
          </w:tcPr>
          <w:p>
            <w:pPr>
              <w:spacing w:before="20" w:after="20"/>
            </w:pPr>
            <w:r>
              <w:rPr>
                <w:b/>
                <w:color w:val="006100"/>
                <w:sz w:val="16"/>
              </w:rPr>
              <w:t>$18.072</w:t>
            </w:r>
          </w:p>
        </w:tc>
      </w:tr>
      <w:tr>
        <w:trPr>
          <w:cantSplit/>
        </w:trPr>
        <w:tc>
          <w:tcPr>
            <w:tcW w:type="dxa" w:w="9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9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(10 colegios)</w:t>
            </w:r>
          </w:p>
        </w:tc>
        <w:tc>
          <w:tcPr>
            <w:tcW w:type="dxa" w:w="9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2.349,3</w:t>
            </w:r>
          </w:p>
        </w:tc>
        <w:tc>
          <w:tcPr>
            <w:tcW w:type="dxa" w:w="9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214</w:t>
            </w:r>
          </w:p>
        </w:tc>
        <w:tc>
          <w:tcPr>
            <w:tcW w:type="dxa" w:w="9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2.135,3</w:t>
            </w:r>
          </w:p>
        </w:tc>
        <w:tc>
          <w:tcPr>
            <w:tcW w:type="dxa" w:w="9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90,9 %</w:t>
            </w:r>
          </w:p>
        </w:tc>
        <w:tc>
          <w:tcPr>
            <w:tcW w:type="dxa" w:w="9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$2.983.662</w:t>
            </w:r>
          </w:p>
        </w:tc>
        <w:tc>
          <w:tcPr>
            <w:tcW w:type="dxa" w:w="9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$271.818</w:t>
            </w:r>
          </w:p>
        </w:tc>
        <w:tc>
          <w:tcPr>
            <w:tcW w:type="dxa" w:w="9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$2.711.844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5. GRÁFICOS DE CONSUMO Y AHORRO ECONÓMICO</w:t>
      </w:r>
    </w:p>
    <w:p>
      <w:pPr>
        <w:jc w:val="both"/>
      </w:pPr>
      <w:r>
        <w:t>Se presentan el ranking semanal por colegio, la evolución diaria agregada de ambas semanas y el ahorro valorizado en pesos chilenos.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76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coleg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3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23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tales_diar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2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84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horro_cl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6. TOBALABA — SEGUIMIENTO PENDIENTE (PULSO)</w:t>
      </w:r>
    </w:p>
    <w:p>
      <w:pPr>
        <w:jc w:val="both"/>
      </w:pPr>
      <w:r>
        <w:t>El colegio Tobalaba (000008-04) cuenta en condiciones normales con equipo de control; sin embargo, durante este periodo se excluyó del programa de corte y del cálculo de ahorro por problemas en el pulso del medidor, que invalidan la serie de consumo para evaluación operativa.</w:t>
        <w:br/>
        <w:br/>
        <w:t>Consumo registrado (referencial, no validado para control):</w:t>
        <w:br/>
        <w:t>• Semana 7–13/09: 2.062,3 m³ ($2.619.121).</w:t>
        <w:br/>
        <w:t>• Semana 14–20/09: 10.436,2 m³ ($13.253.974).</w:t>
        <w:br/>
        <w:br/>
        <w:t>Se deja constancia de que debe revisarse el tema de Tobalaba (diagnóstico y corrección del pulso / telemetría) para reincorporarlo al esquema de control hídrico en los próximos periodos. Mientras no se normalice la medición, no debe incluirse en rankings de cumplimiento ni en valorizaciones de ahorro.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7. COLEGIOS SIN CONTROL HIDRÁULICO</w:t>
      </w:r>
    </w:p>
    <w:p>
      <w:pPr>
        <w:jc w:val="both"/>
      </w:pPr>
      <w:r>
        <w:t>CORMUP / Peñalolén opera hoy con catorce puntos de monitoreo. Once de ellos disponen (en condiciones normales) de válvula de control; tres solo cuentan con medición y alertas, sin capacidad de corte remoto. Estos últimos no formaron parte del programa de vacaciones ni del cálculo de ahorro: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</w:trPr>
        <w:tc>
          <w:tcPr>
            <w:tcW w:type="dxa" w:w="1234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Colegio</w:t>
            </w:r>
          </w:p>
        </w:tc>
        <w:tc>
          <w:tcPr>
            <w:tcW w:type="dxa" w:w="1234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1234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7–13</w:t>
              <w:br/>
              <w:t>(m³)</w:t>
            </w:r>
          </w:p>
        </w:tc>
        <w:tc>
          <w:tcPr>
            <w:tcW w:type="dxa" w:w="1234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14–20</w:t>
              <w:br/>
              <w:t>(m³)</w:t>
            </w:r>
          </w:p>
        </w:tc>
        <w:tc>
          <w:tcPr>
            <w:tcW w:type="dxa" w:w="1234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7–13</w:t>
              <w:br/>
              <w:t>(CLP)</w:t>
            </w:r>
          </w:p>
        </w:tc>
        <w:tc>
          <w:tcPr>
            <w:tcW w:type="dxa" w:w="1234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14–20</w:t>
              <w:br/>
              <w:t>(CLP)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Eduardo de la Barra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000008-02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Solo monitoreo (sin válvula)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142,6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32,9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$181.089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$41.745</w:t>
            </w:r>
          </w:p>
        </w:tc>
      </w:tr>
      <w:tr>
        <w:trPr>
          <w:cantSplit/>
        </w:trPr>
        <w:tc>
          <w:tcPr>
            <w:tcW w:type="dxa" w:w="1234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Alicura</w:t>
            </w:r>
          </w:p>
        </w:tc>
        <w:tc>
          <w:tcPr>
            <w:tcW w:type="dxa" w:w="1234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000008-08</w:t>
            </w:r>
          </w:p>
        </w:tc>
        <w:tc>
          <w:tcPr>
            <w:tcW w:type="dxa" w:w="1234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Solo monitoreo (sin válvula)</w:t>
            </w:r>
          </w:p>
        </w:tc>
        <w:tc>
          <w:tcPr>
            <w:tcW w:type="dxa" w:w="1234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12,4</w:t>
            </w:r>
          </w:p>
        </w:tc>
        <w:tc>
          <w:tcPr>
            <w:tcW w:type="dxa" w:w="1234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34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$15.735</w:t>
            </w:r>
          </w:p>
        </w:tc>
        <w:tc>
          <w:tcPr>
            <w:tcW w:type="dxa" w:w="1234"/>
            <w:shd w:val="clear" w:fill="F2F6FC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Likankura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000008-13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Solo monitoreo (sin válvula)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88,2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8,9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$111.989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>
              <w:rPr>
                <w:b w:val="0"/>
                <w:sz w:val="16"/>
              </w:rPr>
              <w:t>$11.252</w:t>
            </w:r>
          </w:p>
        </w:tc>
      </w:tr>
    </w:tbl>
    <w:p>
      <w:pPr>
        <w:jc w:val="both"/>
      </w:pPr>
      <w:r>
        <w:t>Eduardo de la Barra, Alicura y Likankura permanecen fuera del esquema de corte porque no poseen actuador/válvula WES. Su consumo se monitorea y puede alertarse, pero no es posible programar habilitaciones ni cortes remotos. Se recomienda mantenerlos visibles en los reportes de monitoreo y evaluar, con el cliente, la factibilidad de incorporar control en una etapa posterior.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8. LECTURA OPERATIVA DEL PERIODO CON CONTROL</w:t>
      </w:r>
    </w:p>
    <w:p>
      <w:pPr>
        <w:jc w:val="both"/>
      </w:pPr>
      <w:r>
        <w:t>• Hermida, Santa Maria, Erasmo Escala, Matilde Huici, Unión Nacional Árabe y Juan Pablo II tenían corte programado; residuales en esa semana deben revisarse como eventual fuga o habilitación no registrada.</w:t>
        <w:br/>
        <w:t>• Carlos Fernandez y Juan Bautista Pasten concentran consumo diurno esperado por obras (09:00–18:00 todos los días, incluido fin de semana).</w:t>
        <w:br/>
        <w:t>• Luis Arrieta y Valle Hermoso tuvieron ventanas de patinaje y habilitaciones puntuales (martes 15/09 y miércoles 16/09, respectivamente), coherentes con el programa acordado.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9. CONCLUSIONES Y RECOMENDACIONES</w:t>
      </w:r>
    </w:p>
    <w:p>
      <w:pPr>
        <w:jc w:val="both"/>
      </w:pPr>
      <w:r>
        <w:t>En el conjunto de los 10 colegios con control operativo, la semana de vacaciones con control especial registró 2.135,3 m³ menos que la semana previa sin control (90,9 %), equivalente a un ahorro económico estimado de $2.711.844 al precio de referencia de 1.270 CLP/m³. El resultado incorpora las habilitaciones de obra y patinaje acordadas con el cliente.</w:t>
      </w:r>
    </w:p>
    <w:p>
      <w:pPr>
        <w:jc w:val="both"/>
      </w:pPr>
      <w:r>
        <w:t>Recomendaciones:</w:t>
        <w:br/>
        <w:t>1) Mantener el esquema de control en próximos periodos no lectivos, documentando habilitaciones excepcionales.</w:t>
        <w:br/>
        <w:t>2) Priorizar la revisión técnica de Tobalaba (pulso/telemetría) para reincorporarlo al control y a la cuantificación de ahorro.</w:t>
        <w:br/>
        <w:t>3) Dejar explícito ante el cliente que Eduardo de la Barra, Alicura y Likankura no tienen control hidráulico; cualquier reducción allí requiere intervención en terreno o ampliación de infraestructura WES.</w:t>
        <w:br/>
        <w:t>4) Revisar residuales en colegios con corte 24 h programado (en particular Hermida, si persistiera consumo fuera de ventana).</w:t>
      </w:r>
    </w:p>
    <w:p>
      <w:r>
        <w:rPr>
          <w:i/>
          <w:color w:val="595959"/>
          <w:sz w:val="18"/>
        </w:rPr>
        <w:t>Nota metodológica: la valorización en CLP es orientativa y utiliza el precio por m³ obtenido desde la plataforma WES para CORMUP (1.270 CLP/m³). No sustituye la facturación del sanitário ni considera cargos fijos.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