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Auditoria_Gimnasio_municipal_000017-05</w:t>
      </w:r>
    </w:p>
    <w:p>
      <w:pPr>
        <w:spacing w:after="80"/>
        <w:jc w:val="center"/>
      </w:pPr>
      <w:r>
        <w:rPr>
          <w:rFonts w:ascii="Calibri" w:hAnsi="Calibri"/>
          <w:b/>
          <w:color w:val="1F4788"/>
          <w:sz w:val="34"/>
        </w:rPr>
        <w:t>Gimnasio municipal</w:t>
      </w:r>
      <w:r>
        <w:br/>
      </w:r>
      <w:r>
        <w:rPr>
          <w:rFonts w:ascii="Calibri" w:hAnsi="Calibri"/>
          <w:b/>
          <w:color w:val="1F4788"/>
          <w:sz w:val="34"/>
        </w:rPr>
        <w:t>000017-05</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4 días cada uno: con control hidráulico activo entre el 10 y el 13 de agosto de 2026 y con control desactivado entre el 17 y el 20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Gimnasio municipal, punto de medición WES 000017-05 (Gimnasio municipal), las series se construyen además en rejilla horaria a partir de datos de la plataforma en zona horaria Chile, para el periodo con control (10-08-2026 al 13-08-2026) y el periodo sin control (17-08-2026 al 20-08-2026), en jornada completa 00:00 a 24:00 (una lectura por hora; fin de intervalo exclusivo). Si una hora no tiene dato, se asume 0 m³/h para mantener una grilla comparable (96 intervalos: 4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5321"/>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5321"/>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13 agosto 2026</w:t>
            </w:r>
          </w:p>
        </w:tc>
        <w:tc>
          <w:tcPr>
            <w:tcW w:type="dxa" w:w="2362"/>
            <w:shd w:val="clear" w:fill="FFFFFF"/>
          </w:tcPr>
          <w:p>
            <w:pPr>
              <w:jc w:val="left"/>
            </w:pPr>
            <w:r>
              <w:rPr>
                <w:b w:val="0"/>
                <w:color w:val="000000"/>
              </w:rPr>
              <w:t>25,66</w:t>
            </w:r>
          </w:p>
        </w:tc>
        <w:tc>
          <w:tcPr>
            <w:tcW w:type="dxa" w:w="2362"/>
            <w:shd w:val="clear" w:fill="FFFFFF"/>
          </w:tcPr>
          <w:p>
            <w:pPr>
              <w:jc w:val="left"/>
            </w:pPr>
            <w:r>
              <w:rPr>
                <w:b w:val="0"/>
                <w:color w:val="000000"/>
              </w:rPr>
              <w:t>6,415</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20 agosto 2026</w:t>
            </w:r>
          </w:p>
        </w:tc>
        <w:tc>
          <w:tcPr>
            <w:tcW w:type="dxa" w:w="2362"/>
            <w:shd w:val="clear" w:fill="FFFFFF"/>
          </w:tcPr>
          <w:p>
            <w:pPr>
              <w:jc w:val="left"/>
            </w:pPr>
            <w:r>
              <w:rPr>
                <w:b w:val="0"/>
                <w:color w:val="000000"/>
              </w:rPr>
              <w:t>19,51</w:t>
            </w:r>
          </w:p>
        </w:tc>
        <w:tc>
          <w:tcPr>
            <w:tcW w:type="dxa" w:w="2362"/>
            <w:shd w:val="clear" w:fill="FFFFFF"/>
          </w:tcPr>
          <w:p>
            <w:pPr>
              <w:jc w:val="left"/>
            </w:pPr>
            <w:r>
              <w:rPr>
                <w:b w:val="0"/>
                <w:color w:val="000000"/>
              </w:rPr>
              <w:t>4,877</w:t>
            </w:r>
          </w:p>
        </w:tc>
      </w:tr>
    </w:tbl>
    <w:p>
      <w:pPr>
        <w:spacing w:after="120"/>
      </w:pPr>
    </w:p>
    <w:p>
      <w:pPr>
        <w:keepNext w:val="0"/>
        <w:widowControl/>
        <w:jc w:val="both"/>
      </w:pPr>
      <w:r>
        <w:t>Métricas y serie horaria (jornada completa) exportadas: cpa_icco_renca_borrador_000017-05.csv.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(10-08-2026) vs sin control (17-08-2026): consumo diario aproximado (suma de las 24 horas en m³/h) Con WES 6,31 m³; Sin WES (línea base) 8,02 m³; diferencia (Con − Sin) -1,71 m³ (-27,1 % respecto del día con WES).</w:t>
      </w:r>
    </w:p>
    <w:p>
      <w:pPr>
        <w:keepNext/>
        <w:widowControl/>
        <w:spacing w:after="60"/>
        <w:jc w:val="center"/>
      </w:pPr>
      <w:r>
        <w:drawing>
          <wp:inline xmlns:a="http://schemas.openxmlformats.org/drawingml/2006/main" xmlns:pic="http://schemas.openxmlformats.org/drawingml/2006/picture">
            <wp:extent cx="5486400" cy="2721389"/>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21389"/>
                    </a:xfrm>
                    <a:prstGeom prst="rect"/>
                  </pic:spPr>
                </pic:pic>
              </a:graphicData>
            </a:graphic>
          </wp:inline>
        </w:drawing>
      </w:r>
    </w:p>
    <w:p>
      <w:pPr>
        <w:spacing w:after="160"/>
      </w:pPr>
    </w:p>
    <w:p>
      <w:pPr>
        <w:keepNext/>
        <w:widowControl/>
        <w:jc w:val="both"/>
      </w:pPr>
      <w:r>
        <w:t>Martes — día homólogo con control (11-08-2026) vs sin control (18-08-2026): consumo diario aproximado (suma de las 24 horas en m³/h) Con WES 6,89 m³; Sin WES (línea base) 5,56 m³; diferencia (Con − Sin) 1,33 m³ (19,3 % respecto del día con WES).</w:t>
      </w:r>
    </w:p>
    <w:p>
      <w:pPr>
        <w:keepNext/>
        <w:widowControl/>
        <w:spacing w:after="60"/>
        <w:jc w:val="center"/>
      </w:pPr>
      <w:r>
        <w:drawing>
          <wp:inline xmlns:a="http://schemas.openxmlformats.org/drawingml/2006/main" xmlns:pic="http://schemas.openxmlformats.org/drawingml/2006/picture">
            <wp:extent cx="5486400" cy="2723054"/>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23054"/>
                    </a:xfrm>
                    <a:prstGeom prst="rect"/>
                  </pic:spPr>
                </pic:pic>
              </a:graphicData>
            </a:graphic>
          </wp:inline>
        </w:drawing>
      </w:r>
    </w:p>
    <w:p>
      <w:pPr>
        <w:spacing w:after="160"/>
      </w:pPr>
    </w:p>
    <w:p>
      <w:pPr>
        <w:keepNext/>
        <w:widowControl/>
        <w:jc w:val="both"/>
      </w:pPr>
      <w:r>
        <w:t>Miércoles — día homólogo con control (12-08-2026) vs sin control (19-08-2026): consumo diario aproximado (suma de las 24 horas en m³/h) Con WES 6,7 m³; Sin WES (línea base) 3,57 m³; diferencia (Con − Sin) 3,13 m³ (46,72 % respecto del día con WES).</w:t>
      </w:r>
    </w:p>
    <w:p>
      <w:pPr>
        <w:keepNext/>
        <w:widowControl/>
        <w:spacing w:after="60"/>
        <w:jc w:val="center"/>
      </w:pPr>
      <w:r>
        <w:drawing>
          <wp:inline xmlns:a="http://schemas.openxmlformats.org/drawingml/2006/main" xmlns:pic="http://schemas.openxmlformats.org/drawingml/2006/picture">
            <wp:extent cx="5486400" cy="2721389"/>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21389"/>
                    </a:xfrm>
                    <a:prstGeom prst="rect"/>
                  </pic:spPr>
                </pic:pic>
              </a:graphicData>
            </a:graphic>
          </wp:inline>
        </w:drawing>
      </w:r>
    </w:p>
    <w:p>
      <w:pPr>
        <w:spacing w:after="160"/>
      </w:pPr>
    </w:p>
    <w:p>
      <w:pPr>
        <w:keepNext/>
        <w:widowControl/>
        <w:jc w:val="both"/>
      </w:pPr>
      <w:r>
        <w:t>Jueves — día homólogo con control (13-08-2026) vs sin control (20-08-2026): consumo diario aproximado (suma de las 24 horas en m³/h) Con WES 5,76 m³; Sin WES (línea base) 2,36 m³; diferencia (Con − Sin) 3,4 m³ (59,03 % respecto del día con WES).</w:t>
      </w:r>
    </w:p>
    <w:p>
      <w:pPr>
        <w:keepNext/>
        <w:widowControl/>
        <w:spacing w:after="60"/>
        <w:jc w:val="center"/>
      </w:pPr>
      <w:r>
        <w:drawing>
          <wp:inline xmlns:a="http://schemas.openxmlformats.org/drawingml/2006/main" xmlns:pic="http://schemas.openxmlformats.org/drawingml/2006/picture">
            <wp:extent cx="5486400" cy="2721389"/>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21389"/>
                    </a:xfrm>
                    <a:prstGeom prst="rect"/>
                  </pic:spPr>
                </pic:pic>
              </a:graphicData>
            </a:graphic>
          </wp:inline>
        </w:drawing>
      </w:r>
    </w:p>
    <w:p>
      <w:pPr>
        <w:spacing w:after="160"/>
      </w:pPr>
    </w:p>
    <w:p>
      <w:pPr>
        <w:keepNext/>
        <w:widowControl/>
        <w:jc w:val="both"/>
      </w:pPr>
      <w:r>
        <w:t>Promedio horario de los 4 días homólogos (gráfico siguiente): Con WES 6,415 m³/día; Sin WES 4,877 m³/día; diferencia media 1,538 m³/día (23,97 % sobre el promedio con WES).</w:t>
      </w:r>
    </w:p>
    <w:p>
      <w:pPr>
        <w:widowControl/>
        <w:spacing w:after="60"/>
        <w:jc w:val="center"/>
      </w:pPr>
      <w:r>
        <w:drawing>
          <wp:inline xmlns:a="http://schemas.openxmlformats.org/drawingml/2006/main" xmlns:pic="http://schemas.openxmlformats.org/drawingml/2006/picture">
            <wp:extent cx="5486400" cy="2721389"/>
            <wp:docPr id="6" name="Picture 6"/>
            <wp:cNvGraphicFramePr>
              <a:graphicFrameLocks noChangeAspect="1"/>
            </wp:cNvGraphicFramePr>
            <a:graphic>
              <a:graphicData uri="http://schemas.openxmlformats.org/drawingml/2006/picture">
                <pic:pic>
                  <pic:nvPicPr>
                    <pic:cNvPr id="0" name="03_area_promedio_24h.png"/>
                    <pic:cNvPicPr/>
                  </pic:nvPicPr>
                  <pic:blipFill>
                    <a:blip r:embed="rId32"/>
                    <a:stretch>
                      <a:fillRect/>
                    </a:stretch>
                  </pic:blipFill>
                  <pic:spPr>
                    <a:xfrm>
                      <a:off x="0" y="0"/>
                      <a:ext cx="5486400" cy="2721389"/>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13 agosto 2026)</w:t>
            </w:r>
          </w:p>
        </w:tc>
        <w:tc>
          <w:tcPr>
            <w:tcW w:type="dxa" w:w="4725"/>
          </w:tcPr>
          <w:p>
            <w:pPr>
              <w:jc w:val="left"/>
            </w:pPr>
            <w:r>
              <w:rPr>
                <w:b w:val="0"/>
                <w:color w:val="000000"/>
              </w:rPr>
              <w:t>6.42 m3/dia</w:t>
            </w:r>
          </w:p>
        </w:tc>
      </w:tr>
      <w:tr>
        <w:tc>
          <w:tcPr>
            <w:tcW w:type="dxa" w:w="4725"/>
          </w:tcPr>
          <w:p>
            <w:pPr>
              <w:jc w:val="left"/>
            </w:pPr>
            <w:r>
              <w:rPr>
                <w:b/>
                <w:color w:val="000000"/>
              </w:rPr>
              <w:t>Promedio diario con control desactivado (17 al 20 agosto 2026)</w:t>
            </w:r>
          </w:p>
        </w:tc>
        <w:tc>
          <w:tcPr>
            <w:tcW w:type="dxa" w:w="4725"/>
          </w:tcPr>
          <w:p>
            <w:pPr>
              <w:jc w:val="left"/>
            </w:pPr>
            <w:r>
              <w:rPr>
                <w:b w:val="0"/>
                <w:color w:val="000000"/>
              </w:rPr>
              <w:t>4.88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(4 días, 00:00–24:00), Con WES 25,66 m³ y Sin WES 19,51 m³ (mayor Σ en Con WES en 6,15 m³). Detalle en Registros de consumos.</w:t>
      </w:r>
    </w:p>
    <w:p/>
    <w:p>
      <w:pPr>
        <w:jc w:val="center"/>
      </w:pPr>
      <w:r>
        <w:t>Ahorro sobre Sin WES: no aplica en este tramo.</w:t>
      </w:r>
    </w:p>
    <w:p/>
    <w:p>
      <w:pPr>
        <w:jc w:val="center"/>
      </w:pPr>
      <w:r>
        <w:rPr>
          <w:color w:val="646464"/>
          <w:sz w:val="18"/>
        </w:rPr>
        <w:t>Documento generado automáticamente — 20-08-2026 21:19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