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Auditoria_Piscina_municipal_000017-06</w:t>
      </w:r>
    </w:p>
    <w:p>
      <w:pPr>
        <w:spacing w:after="80"/>
        <w:jc w:val="center"/>
      </w:pPr>
      <w:r>
        <w:rPr>
          <w:rFonts w:ascii="Calibri" w:hAnsi="Calibri"/>
          <w:b/>
          <w:color w:val="1F4788"/>
          <w:sz w:val="34"/>
        </w:rPr>
        <w:t>Piscina municipal</w:t>
      </w:r>
      <w:r>
        <w:br/>
      </w:r>
      <w:r>
        <w:rPr>
          <w:rFonts w:ascii="Calibri" w:hAnsi="Calibri"/>
          <w:b/>
          <w:color w:val="1F4788"/>
          <w:sz w:val="34"/>
        </w:rPr>
        <w:t>000017-06</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4 días cada uno: con control hidráulico activo entre el 10 y el 13 de agosto de 2026 y con control desactivado entre el 17 y el 20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Piscina municipal, punto de medición WES 000017-06 (Piscina municipal), las series se construyen además en rejilla horaria a partir de datos de la plataforma en zona horaria Chile, para el periodo con control (10-08-2026 al 13-08-2026) y el periodo sin control (17-08-2026 al 20-08-2026), en jornada completa 00:00 a 24:00 (una lectura por hora; fin de intervalo exclusivo). Si una hora no tiene dato, se asume 0 m³/h para mantener una grilla comparable (96 intervalos: 4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8588"/>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8588"/>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13 agosto 2026</w:t>
            </w:r>
          </w:p>
        </w:tc>
        <w:tc>
          <w:tcPr>
            <w:tcW w:type="dxa" w:w="2362"/>
            <w:shd w:val="clear" w:fill="FFFFFF"/>
          </w:tcPr>
          <w:p>
            <w:pPr>
              <w:jc w:val="left"/>
            </w:pPr>
            <w:r>
              <w:rPr>
                <w:b w:val="0"/>
                <w:color w:val="000000"/>
              </w:rPr>
              <w:t>116,26</w:t>
            </w:r>
          </w:p>
        </w:tc>
        <w:tc>
          <w:tcPr>
            <w:tcW w:type="dxa" w:w="2362"/>
            <w:shd w:val="clear" w:fill="FFFFFF"/>
          </w:tcPr>
          <w:p>
            <w:pPr>
              <w:jc w:val="left"/>
            </w:pPr>
            <w:r>
              <w:rPr>
                <w:b w:val="0"/>
                <w:color w:val="000000"/>
              </w:rPr>
              <w:t>29,065</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20 agosto 2026</w:t>
            </w:r>
          </w:p>
        </w:tc>
        <w:tc>
          <w:tcPr>
            <w:tcW w:type="dxa" w:w="2362"/>
            <w:shd w:val="clear" w:fill="FFFFFF"/>
          </w:tcPr>
          <w:p>
            <w:pPr>
              <w:jc w:val="left"/>
            </w:pPr>
            <w:r>
              <w:rPr>
                <w:b w:val="0"/>
                <w:color w:val="000000"/>
              </w:rPr>
              <w:t>214,05</w:t>
            </w:r>
          </w:p>
        </w:tc>
        <w:tc>
          <w:tcPr>
            <w:tcW w:type="dxa" w:w="2362"/>
            <w:shd w:val="clear" w:fill="FFFFFF"/>
          </w:tcPr>
          <w:p>
            <w:pPr>
              <w:jc w:val="left"/>
            </w:pPr>
            <w:r>
              <w:rPr>
                <w:b w:val="0"/>
                <w:color w:val="000000"/>
              </w:rPr>
              <w:t>53,513</w:t>
            </w:r>
          </w:p>
        </w:tc>
      </w:tr>
    </w:tbl>
    <w:p>
      <w:pPr>
        <w:spacing w:after="120"/>
      </w:pPr>
    </w:p>
    <w:p>
      <w:pPr>
        <w:keepNext w:val="0"/>
        <w:widowControl/>
        <w:jc w:val="both"/>
      </w:pPr>
      <w:r>
        <w:t>Métricas y serie horaria (jornada completa) exportadas: cpa_icco_renca_borrador_000017-06.csv.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(10-08-2026) vs sin control (17-08-2026): consumo diario aproximado (suma de las 24 horas en m³/h) Con WES 31,07 m³; Sin WES (línea base) 56,15 m³; diferencia (Con − Sin) -25,08 m³ (-80,72 % respecto del día con WES).</w:t>
      </w:r>
    </w:p>
    <w:p>
      <w:pPr>
        <w:keepNext/>
        <w:widowControl/>
        <w:spacing w:after="60"/>
        <w:jc w:val="center"/>
      </w:pPr>
      <w:r>
        <w:drawing>
          <wp:inline xmlns:a="http://schemas.openxmlformats.org/drawingml/2006/main" xmlns:pic="http://schemas.openxmlformats.org/drawingml/2006/picture">
            <wp:extent cx="5486400" cy="2721389"/>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21389"/>
                    </a:xfrm>
                    <a:prstGeom prst="rect"/>
                  </pic:spPr>
                </pic:pic>
              </a:graphicData>
            </a:graphic>
          </wp:inline>
        </w:drawing>
      </w:r>
    </w:p>
    <w:p>
      <w:pPr>
        <w:spacing w:after="160"/>
      </w:pPr>
    </w:p>
    <w:p>
      <w:pPr>
        <w:keepNext/>
        <w:widowControl/>
        <w:jc w:val="both"/>
      </w:pPr>
      <w:r>
        <w:t>Martes — día homólogo con control (11-08-2026) vs sin control (18-08-2026): consumo diario aproximado (suma de las 24 horas en m³/h) Con WES 31,44 m³; Sin WES (línea base) 58,52 m³; diferencia (Con − Sin) -27,08 m³ (-86,13 % respecto del día con WES).</w:t>
      </w:r>
    </w:p>
    <w:p>
      <w:pPr>
        <w:keepNext/>
        <w:widowControl/>
        <w:spacing w:after="60"/>
        <w:jc w:val="center"/>
      </w:pPr>
      <w:r>
        <w:drawing>
          <wp:inline xmlns:a="http://schemas.openxmlformats.org/drawingml/2006/main" xmlns:pic="http://schemas.openxmlformats.org/drawingml/2006/picture">
            <wp:extent cx="5486400" cy="2721389"/>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21389"/>
                    </a:xfrm>
                    <a:prstGeom prst="rect"/>
                  </pic:spPr>
                </pic:pic>
              </a:graphicData>
            </a:graphic>
          </wp:inline>
        </w:drawing>
      </w:r>
    </w:p>
    <w:p>
      <w:pPr>
        <w:spacing w:after="160"/>
      </w:pPr>
    </w:p>
    <w:p>
      <w:pPr>
        <w:keepNext/>
        <w:widowControl/>
        <w:jc w:val="both"/>
      </w:pPr>
      <w:r>
        <w:t>Miércoles — día homólogo con control (12-08-2026) vs sin control (19-08-2026): consumo diario aproximado (suma de las 24 horas en m³/h) Con WES 31,15 m³; Sin WES (línea base) 58,4 m³; diferencia (Con − Sin) -27,25 m³ (-87,48 % respecto del día con WES).</w:t>
      </w:r>
    </w:p>
    <w:p>
      <w:pPr>
        <w:keepNext/>
        <w:widowControl/>
        <w:spacing w:after="60"/>
        <w:jc w:val="center"/>
      </w:pPr>
      <w:r>
        <w:drawing>
          <wp:inline xmlns:a="http://schemas.openxmlformats.org/drawingml/2006/main" xmlns:pic="http://schemas.openxmlformats.org/drawingml/2006/picture">
            <wp:extent cx="5486400" cy="2721389"/>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21389"/>
                    </a:xfrm>
                    <a:prstGeom prst="rect"/>
                  </pic:spPr>
                </pic:pic>
              </a:graphicData>
            </a:graphic>
          </wp:inline>
        </w:drawing>
      </w:r>
    </w:p>
    <w:p>
      <w:pPr>
        <w:spacing w:after="160"/>
      </w:pPr>
    </w:p>
    <w:p>
      <w:pPr>
        <w:keepNext/>
        <w:widowControl/>
        <w:jc w:val="both"/>
      </w:pPr>
      <w:r>
        <w:t>Jueves — día homólogo con control (13-08-2026) vs sin control (20-08-2026): consumo diario aproximado (suma de las 24 horas en m³/h) Con WES 22,6 m³; Sin WES (línea base) 40,98 m³; diferencia (Con − Sin) -18,38 m³ (-81,33 % respecto del día con WES).</w:t>
      </w:r>
    </w:p>
    <w:p>
      <w:pPr>
        <w:keepNext/>
        <w:widowControl/>
        <w:spacing w:after="60"/>
        <w:jc w:val="center"/>
      </w:pPr>
      <w:r>
        <w:drawing>
          <wp:inline xmlns:a="http://schemas.openxmlformats.org/drawingml/2006/main" xmlns:pic="http://schemas.openxmlformats.org/drawingml/2006/picture">
            <wp:extent cx="5486400" cy="2721389"/>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21389"/>
                    </a:xfrm>
                    <a:prstGeom prst="rect"/>
                  </pic:spPr>
                </pic:pic>
              </a:graphicData>
            </a:graphic>
          </wp:inline>
        </w:drawing>
      </w:r>
    </w:p>
    <w:p>
      <w:pPr>
        <w:spacing w:after="160"/>
      </w:pPr>
    </w:p>
    <w:p>
      <w:pPr>
        <w:keepNext/>
        <w:widowControl/>
        <w:jc w:val="both"/>
      </w:pPr>
      <w:r>
        <w:t>Promedio horario de los 4 días homólogos (gráfico siguiente): Con WES 29,065 m³/día; Sin WES 53,512 m³/día; diferencia media -24,447 m³/día (-84,11 % sobre el promedio con WES).</w:t>
      </w:r>
    </w:p>
    <w:p>
      <w:pPr>
        <w:widowControl/>
        <w:spacing w:after="60"/>
        <w:jc w:val="center"/>
      </w:pPr>
      <w:r>
        <w:drawing>
          <wp:inline xmlns:a="http://schemas.openxmlformats.org/drawingml/2006/main" xmlns:pic="http://schemas.openxmlformats.org/drawingml/2006/picture">
            <wp:extent cx="5486400" cy="2721389"/>
            <wp:docPr id="6" name="Picture 6"/>
            <wp:cNvGraphicFramePr>
              <a:graphicFrameLocks noChangeAspect="1"/>
            </wp:cNvGraphicFramePr>
            <a:graphic>
              <a:graphicData uri="http://schemas.openxmlformats.org/drawingml/2006/picture">
                <pic:pic>
                  <pic:nvPicPr>
                    <pic:cNvPr id="0" name="03_area_promedio_24h.png"/>
                    <pic:cNvPicPr/>
                  </pic:nvPicPr>
                  <pic:blipFill>
                    <a:blip r:embed="rId32"/>
                    <a:stretch>
                      <a:fillRect/>
                    </a:stretch>
                  </pic:blipFill>
                  <pic:spPr>
                    <a:xfrm>
                      <a:off x="0" y="0"/>
                      <a:ext cx="5486400" cy="2721389"/>
                    </a:xfrm>
                    <a:prstGeom prst="rect"/>
                  </pic:spPr>
                </pic:pic>
              </a:graphicData>
            </a:graphic>
          </wp:inline>
        </w:drawing>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13 agosto 2026)</w:t>
            </w:r>
          </w:p>
        </w:tc>
        <w:tc>
          <w:tcPr>
            <w:tcW w:type="dxa" w:w="4725"/>
          </w:tcPr>
          <w:p>
            <w:pPr>
              <w:jc w:val="left"/>
            </w:pPr>
            <w:r>
              <w:rPr>
                <w:b w:val="0"/>
                <w:color w:val="000000"/>
              </w:rPr>
              <w:t>29.06 m3/dia</w:t>
            </w:r>
          </w:p>
        </w:tc>
      </w:tr>
      <w:tr>
        <w:tc>
          <w:tcPr>
            <w:tcW w:type="dxa" w:w="4725"/>
          </w:tcPr>
          <w:p>
            <w:pPr>
              <w:jc w:val="left"/>
            </w:pPr>
            <w:r>
              <w:rPr>
                <w:b/>
                <w:color w:val="000000"/>
              </w:rPr>
              <w:t>Promedio diario con control desactivado (17 al 20 agosto 2026)</w:t>
            </w:r>
          </w:p>
        </w:tc>
        <w:tc>
          <w:tcPr>
            <w:tcW w:type="dxa" w:w="4725"/>
          </w:tcPr>
          <w:p>
            <w:pPr>
              <w:jc w:val="left"/>
            </w:pPr>
            <w:r>
              <w:rPr>
                <w:b w:val="0"/>
                <w:color w:val="000000"/>
              </w:rPr>
              <w:t>53.51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24.45 m3/dia</w:t>
            </w:r>
          </w:p>
        </w:tc>
      </w:tr>
      <w:tr>
        <w:tc>
          <w:tcPr>
            <w:tcW w:type="dxa" w:w="4725"/>
          </w:tcPr>
          <w:p>
            <w:pPr>
              <w:jc w:val="left"/>
            </w:pPr>
            <w:r>
              <w:rPr>
                <w:b/>
                <w:color w:val="000000"/>
              </w:rPr>
              <w:t>Ahorro porcentual</w:t>
            </w:r>
          </w:p>
        </w:tc>
        <w:tc>
          <w:tcPr>
            <w:tcW w:type="dxa" w:w="4725"/>
          </w:tcPr>
          <w:p>
            <w:pPr>
              <w:jc w:val="left"/>
            </w:pPr>
            <w:r>
              <w:rPr>
                <w:b w:val="0"/>
                <w:color w:val="000000"/>
              </w:rPr>
              <w:t>45.69%</w:t>
            </w:r>
          </w:p>
        </w:tc>
      </w:tr>
      <w:tr>
        <w:tc>
          <w:tcPr>
            <w:tcW w:type="dxa" w:w="4725"/>
          </w:tcPr>
          <w:p>
            <w:pPr>
              <w:jc w:val="left"/>
            </w:pPr>
            <w:r>
              <w:rPr>
                <w:b/>
                <w:color w:val="000000"/>
              </w:rPr>
              <w:t>Diferencia neta (desactivado - activo)</w:t>
            </w:r>
          </w:p>
        </w:tc>
        <w:tc>
          <w:tcPr>
            <w:tcW w:type="dxa" w:w="4725"/>
          </w:tcPr>
          <w:p>
            <w:pPr>
              <w:jc w:val="left"/>
            </w:pPr>
            <w:r>
              <w:rPr>
                <w:b w:val="0"/>
                <w:color w:val="000000"/>
              </w:rPr>
              <w:t>24.45 m3/dia</w:t>
            </w:r>
          </w:p>
        </w:tc>
      </w:tr>
    </w:tbl>
    <w:p>
      <w:pPr>
        <w:spacing w:after="160"/>
      </w:pPr>
    </w:p>
    <w:p>
      <w:pPr>
        <w:keepNext w:val="0"/>
        <w:widowControl/>
        <w:jc w:val="both"/>
      </w:pPr>
      <w:r>
        <w:t>En la rejilla analizada (4 días, 00:00–24:00), Con WES 116,26 m³ y Sin WES 214,05 m³; volumen evitado respecto de Sin WES: 97,79 m³ (~127.127 CLP a 1.300 CLP/m³, orientativo). Cuadros y gráficos: Registros de consumos.</w:t>
      </w:r>
    </w:p>
    <w:p/>
    <w:p>
      <w:pPr>
        <w:jc w:val="center"/>
      </w:pPr>
      <w:r>
        <w:rPr>
          <w:sz w:val="22"/>
        </w:rPr>
        <w:t xml:space="preserve">Ahorro sobre Sin WES: </w:t>
      </w:r>
      <w:r>
        <w:rPr>
          <w:b/>
          <w:sz w:val="28"/>
        </w:rPr>
        <w:t>45,69 %</w:t>
      </w:r>
    </w:p>
    <w:p/>
    <w:p>
      <w:pPr>
        <w:jc w:val="center"/>
      </w:pPr>
      <w:r>
        <w:rPr>
          <w:color w:val="646464"/>
          <w:sz w:val="18"/>
        </w:rPr>
        <w:t>Documento generado automáticamente — 20-08-2026 21:19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