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Informe de Auditoría — Renca</w:t>
      </w:r>
    </w:p>
    <w:p>
      <w:pPr>
        <w:jc w:val="center"/>
      </w:pPr>
      <w:r>
        <w:rPr>
          <w:b/>
          <w:color w:val="1F4788"/>
        </w:rPr>
        <w:t>Con WES 10 al 13 de agosto de 2026  vs  Sin WES 17 al 20 de agosto de 2026</w:t>
      </w:r>
    </w:p>
    <w:p>
      <w:r>
        <w:rPr>
          <w:b/>
        </w:rPr>
        <w:t xml:space="preserve">Ventana homóloga: </w:t>
      </w:r>
      <w:r>
        <w:t>lunes a miércoles completos + jueves 00:00–16:59 Chile (corte 20/08/2026 17:19 Chile). Cada día sin control se compara con el mismo día de la semana anterior con WES (lun 17 vs lun 10, mar 18 vs mar 11, mié 19 vs mié 12, jue 20 vs jue 13). Ahorro = (Sin WES − Con WES) / Sin WES × 100. Tarifa de referencia 1.300 CLP/m³.</w:t>
      </w:r>
    </w:p>
    <w:p>
      <w:pPr>
        <w:pStyle w:val="Heading1"/>
      </w:pPr>
      <w:r>
        <w:t>1. Los 4 puntos</w:t>
      </w:r>
    </w:p>
    <w:p>
      <w:r>
        <w:drawing>
          <wp:inline xmlns:a="http://schemas.openxmlformats.org/drawingml/2006/main" xmlns:pic="http://schemas.openxmlformats.org/drawingml/2006/picture">
            <wp:extent cx="5832000" cy="2838493"/>
            <wp:docPr id="1" name="Picture 1"/>
            <wp:cNvGraphicFramePr>
              <a:graphicFrameLocks noChangeAspect="1"/>
            </wp:cNvGraphicFramePr>
            <a:graphic>
              <a:graphicData uri="http://schemas.openxmlformats.org/drawingml/2006/picture">
                <pic:pic>
                  <pic:nvPicPr>
                    <pic:cNvPr id="0" name="todos_casos_con_vs_sin.png"/>
                    <pic:cNvPicPr/>
                  </pic:nvPicPr>
                  <pic:blipFill>
                    <a:blip r:embed="rId10"/>
                    <a:stretch>
                      <a:fillRect/>
                    </a:stretch>
                  </pic:blipFill>
                  <pic:spPr>
                    <a:xfrm>
                      <a:off x="0" y="0"/>
                      <a:ext cx="5832000" cy="2838493"/>
                    </a:xfrm>
                    <a:prstGeom prst="rect"/>
                  </pic:spPr>
                </pic:pic>
              </a:graphicData>
            </a:graphic>
          </wp:inline>
        </w:drawing>
      </w:r>
    </w:p>
    <w:p/>
    <w:p>
      <w:r>
        <w:drawing>
          <wp:inline xmlns:a="http://schemas.openxmlformats.org/drawingml/2006/main" xmlns:pic="http://schemas.openxmlformats.org/drawingml/2006/picture">
            <wp:extent cx="5832000" cy="3442840"/>
            <wp:docPr id="2" name="Picture 2"/>
            <wp:cNvGraphicFramePr>
              <a:graphicFrameLocks noChangeAspect="1"/>
            </wp:cNvGraphicFramePr>
            <a:graphic>
              <a:graphicData uri="http://schemas.openxmlformats.org/drawingml/2006/picture">
                <pic:pic>
                  <pic:nvPicPr>
                    <pic:cNvPr id="0" name="dias_homologos_4_puntos.png"/>
                    <pic:cNvPicPr/>
                  </pic:nvPicPr>
                  <pic:blipFill>
                    <a:blip r:embed="rId11"/>
                    <a:stretch>
                      <a:fillRect/>
                    </a:stretch>
                  </pic:blipFill>
                  <pic:spPr>
                    <a:xfrm>
                      <a:off x="0" y="0"/>
                      <a:ext cx="5832000" cy="3442840"/>
                    </a:xfrm>
                    <a:prstGeom prst="rect"/>
                  </pic:spPr>
                </pic:pic>
              </a:graphicData>
            </a:graphic>
          </wp:inline>
        </w:drawing>
      </w:r>
    </w:p>
    <w:p>
      <w:r>
        <w:t>Conjunto: Con WES 228,6 m³; Sin WES 364 m³; diferencia 135,4 m³ (37,2 % sobre el periodo sin control; ~176.020 CLP).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Punto</w:t>
            </w:r>
          </w:p>
        </w:tc>
        <w:tc>
          <w:tcPr>
            <w:tcW w:type="dxa" w:w="1440"/>
            <w:shd w:val="clear" w:fill="1F4788"/>
          </w:tcPr>
          <w:p>
            <w:r>
              <w:rPr>
                <w:b/>
                <w:color w:val="FFFFFF"/>
                <w:sz w:val="18"/>
              </w:rPr>
              <w:t>Con WES (m³)</w:t>
            </w:r>
          </w:p>
        </w:tc>
        <w:tc>
          <w:tcPr>
            <w:tcW w:type="dxa" w:w="1440"/>
            <w:shd w:val="clear" w:fill="1F4788"/>
          </w:tcPr>
          <w:p>
            <w:r>
              <w:rPr>
                <w:b/>
                <w:color w:val="FFFFFF"/>
                <w:sz w:val="18"/>
              </w:rPr>
              <w:t>Sin WES (m³)</w:t>
            </w:r>
          </w:p>
        </w:tc>
        <w:tc>
          <w:tcPr>
            <w:tcW w:type="dxa" w:w="1440"/>
            <w:shd w:val="clear" w:fill="1F4788"/>
          </w:tcPr>
          <w:p>
            <w:r>
              <w:rPr>
                <w:b/>
                <w:color w:val="FFFFFF"/>
                <w:sz w:val="18"/>
              </w:rPr>
              <w:t>Ahorro (m³)</w:t>
            </w:r>
          </w:p>
        </w:tc>
        <w:tc>
          <w:tcPr>
            <w:tcW w:type="dxa" w:w="1440"/>
            <w:shd w:val="clear" w:fill="1F4788"/>
          </w:tcPr>
          <w:p>
            <w:r>
              <w:rPr>
                <w:b/>
                <w:color w:val="FFFFFF"/>
                <w:sz w:val="18"/>
              </w:rPr>
              <w:t>%</w:t>
            </w:r>
          </w:p>
        </w:tc>
        <w:tc>
          <w:tcPr>
            <w:tcW w:type="dxa" w:w="1440"/>
            <w:shd w:val="clear" w:fill="1F4788"/>
          </w:tcPr>
          <w:p>
            <w:r>
              <w:rPr>
                <w:b/>
                <w:color w:val="FFFFFF"/>
                <w:sz w:val="18"/>
              </w:rPr>
              <w:t>Hallazgo</w:t>
            </w:r>
          </w:p>
        </w:tc>
      </w:tr>
      <w:tr>
        <w:tc>
          <w:tcPr>
            <w:tcW w:type="dxa" w:w="1440"/>
            <w:shd w:val="clear" w:fill="E2EFDA"/>
          </w:tcPr>
          <w:p>
            <w:r>
              <w:rPr>
                <w:sz w:val="18"/>
              </w:rPr>
              <w:t>ICCP (Cumbre de Cóndores pte.)</w:t>
            </w:r>
          </w:p>
        </w:tc>
        <w:tc>
          <w:tcPr>
            <w:tcW w:type="dxa" w:w="1440"/>
            <w:shd w:val="clear" w:fill="E2EFDA"/>
          </w:tcPr>
          <w:p>
            <w:r>
              <w:rPr>
                <w:sz w:val="18"/>
              </w:rPr>
              <w:t>57,6</w:t>
            </w:r>
          </w:p>
        </w:tc>
        <w:tc>
          <w:tcPr>
            <w:tcW w:type="dxa" w:w="1440"/>
            <w:shd w:val="clear" w:fill="E2EFDA"/>
          </w:tcPr>
          <w:p>
            <w:r>
              <w:rPr>
                <w:sz w:val="18"/>
              </w:rPr>
              <w:t>108,9</w:t>
            </w:r>
          </w:p>
        </w:tc>
        <w:tc>
          <w:tcPr>
            <w:tcW w:type="dxa" w:w="1440"/>
            <w:shd w:val="clear" w:fill="E2EFDA"/>
          </w:tcPr>
          <w:p>
            <w:r>
              <w:rPr>
                <w:sz w:val="18"/>
              </w:rPr>
              <w:t>51,3</w:t>
            </w:r>
          </w:p>
        </w:tc>
        <w:tc>
          <w:tcPr>
            <w:tcW w:type="dxa" w:w="1440"/>
            <w:shd w:val="clear" w:fill="E2EFDA"/>
          </w:tcPr>
          <w:p>
            <w:r>
              <w:rPr>
                <w:sz w:val="18"/>
              </w:rPr>
              <w:t>47,1 %</w:t>
            </w:r>
          </w:p>
        </w:tc>
        <w:tc>
          <w:tcPr>
            <w:tcW w:type="dxa" w:w="1440"/>
            <w:shd w:val="clear" w:fill="E2EFDA"/>
          </w:tcPr>
          <w:p>
            <w:r>
              <w:rPr>
                <w:sz w:val="18"/>
              </w:rPr>
              <w:t>WES baja el consumo</w:t>
            </w:r>
          </w:p>
        </w:tc>
      </w:tr>
      <w:tr>
        <w:tc>
          <w:tcPr>
            <w:tcW w:type="dxa" w:w="1440"/>
          </w:tcPr>
          <w:p>
            <w:r>
              <w:rPr>
                <w:sz w:val="18"/>
              </w:rPr>
              <w:t>Esc. Lo Velásquez</w:t>
            </w:r>
          </w:p>
        </w:tc>
        <w:tc>
          <w:tcPr>
            <w:tcW w:type="dxa" w:w="1440"/>
          </w:tcPr>
          <w:p>
            <w:r>
              <w:rPr>
                <w:sz w:val="18"/>
              </w:rPr>
              <w:t>29</w:t>
            </w:r>
          </w:p>
        </w:tc>
        <w:tc>
          <w:tcPr>
            <w:tcW w:type="dxa" w:w="1440"/>
          </w:tcPr>
          <w:p>
            <w:r>
              <w:rPr>
                <w:sz w:val="18"/>
              </w:rPr>
              <w:t>21,5</w:t>
            </w:r>
          </w:p>
        </w:tc>
        <w:tc>
          <w:tcPr>
            <w:tcW w:type="dxa" w:w="1440"/>
          </w:tcPr>
          <w:p>
            <w:r>
              <w:rPr>
                <w:sz w:val="18"/>
              </w:rPr>
              <w:t>-7,5</w:t>
            </w:r>
          </w:p>
        </w:tc>
        <w:tc>
          <w:tcPr>
            <w:tcW w:type="dxa" w:w="1440"/>
          </w:tcPr>
          <w:p>
            <w:r>
              <w:rPr>
                <w:sz w:val="18"/>
              </w:rPr>
              <w:t>-35,1 %</w:t>
            </w:r>
          </w:p>
        </w:tc>
        <w:tc>
          <w:tcPr>
            <w:tcW w:type="dxa" w:w="1440"/>
          </w:tcPr>
          <w:p>
            <w:r>
              <w:rPr>
                <w:sz w:val="18"/>
              </w:rPr>
              <w:t>Sin WES no gasta más</w:t>
            </w:r>
          </w:p>
        </w:tc>
      </w:tr>
      <w:tr>
        <w:tc>
          <w:tcPr>
            <w:tcW w:type="dxa" w:w="1440"/>
          </w:tcPr>
          <w:p>
            <w:r>
              <w:rPr>
                <w:sz w:val="18"/>
              </w:rPr>
              <w:t>Gimnasio municipal</w:t>
            </w:r>
          </w:p>
        </w:tc>
        <w:tc>
          <w:tcPr>
            <w:tcW w:type="dxa" w:w="1440"/>
          </w:tcPr>
          <w:p>
            <w:r>
              <w:rPr>
                <w:sz w:val="18"/>
              </w:rPr>
              <w:t>25,7</w:t>
            </w:r>
          </w:p>
        </w:tc>
        <w:tc>
          <w:tcPr>
            <w:tcW w:type="dxa" w:w="1440"/>
          </w:tcPr>
          <w:p>
            <w:r>
              <w:rPr>
                <w:sz w:val="18"/>
              </w:rPr>
              <w:t>19,5</w:t>
            </w:r>
          </w:p>
        </w:tc>
        <w:tc>
          <w:tcPr>
            <w:tcW w:type="dxa" w:w="1440"/>
          </w:tcPr>
          <w:p>
            <w:r>
              <w:rPr>
                <w:sz w:val="18"/>
              </w:rPr>
              <w:t>-6,2</w:t>
            </w:r>
          </w:p>
        </w:tc>
        <w:tc>
          <w:tcPr>
            <w:tcW w:type="dxa" w:w="1440"/>
          </w:tcPr>
          <w:p>
            <w:r>
              <w:rPr>
                <w:sz w:val="18"/>
              </w:rPr>
              <w:t>-31,5 %</w:t>
            </w:r>
          </w:p>
        </w:tc>
        <w:tc>
          <w:tcPr>
            <w:tcW w:type="dxa" w:w="1440"/>
          </w:tcPr>
          <w:p>
            <w:r>
              <w:rPr>
                <w:sz w:val="18"/>
              </w:rPr>
              <w:t>Sin WES no gasta más</w:t>
            </w:r>
          </w:p>
        </w:tc>
      </w:tr>
      <w:tr>
        <w:tc>
          <w:tcPr>
            <w:tcW w:type="dxa" w:w="1440"/>
            <w:shd w:val="clear" w:fill="E2EFDA"/>
          </w:tcPr>
          <w:p>
            <w:r>
              <w:rPr>
                <w:sz w:val="18"/>
              </w:rPr>
              <w:t>Piscina municipal</w:t>
            </w:r>
          </w:p>
        </w:tc>
        <w:tc>
          <w:tcPr>
            <w:tcW w:type="dxa" w:w="1440"/>
            <w:shd w:val="clear" w:fill="E2EFDA"/>
          </w:tcPr>
          <w:p>
            <w:r>
              <w:rPr>
                <w:sz w:val="18"/>
              </w:rPr>
              <w:t>116,3</w:t>
            </w:r>
          </w:p>
        </w:tc>
        <w:tc>
          <w:tcPr>
            <w:tcW w:type="dxa" w:w="1440"/>
            <w:shd w:val="clear" w:fill="E2EFDA"/>
          </w:tcPr>
          <w:p>
            <w:r>
              <w:rPr>
                <w:sz w:val="18"/>
              </w:rPr>
              <w:t>214</w:t>
            </w:r>
          </w:p>
        </w:tc>
        <w:tc>
          <w:tcPr>
            <w:tcW w:type="dxa" w:w="1440"/>
            <w:shd w:val="clear" w:fill="E2EFDA"/>
          </w:tcPr>
          <w:p>
            <w:r>
              <w:rPr>
                <w:sz w:val="18"/>
              </w:rPr>
              <w:t>97,8</w:t>
            </w:r>
          </w:p>
        </w:tc>
        <w:tc>
          <w:tcPr>
            <w:tcW w:type="dxa" w:w="1440"/>
            <w:shd w:val="clear" w:fill="E2EFDA"/>
          </w:tcPr>
          <w:p>
            <w:r>
              <w:rPr>
                <w:sz w:val="18"/>
              </w:rPr>
              <w:t>45,7 %</w:t>
            </w:r>
          </w:p>
        </w:tc>
        <w:tc>
          <w:tcPr>
            <w:tcW w:type="dxa" w:w="1440"/>
            <w:shd w:val="clear" w:fill="E2EFDA"/>
          </w:tcPr>
          <w:p>
            <w:r>
              <w:rPr>
                <w:sz w:val="18"/>
              </w:rPr>
              <w:t>WES baja el consumo</w:t>
            </w:r>
          </w:p>
        </w:tc>
      </w:tr>
      <w:tr>
        <w:tc>
          <w:tcPr>
            <w:tcW w:type="dxa" w:w="1440"/>
            <w:shd w:val="clear" w:fill="D6DCE4"/>
          </w:tcPr>
          <w:p>
            <w:r>
              <w:rPr>
                <w:b/>
                <w:sz w:val="18"/>
              </w:rPr>
              <w:t>Total 4 puntos</w:t>
            </w:r>
          </w:p>
        </w:tc>
        <w:tc>
          <w:tcPr>
            <w:tcW w:type="dxa" w:w="1440"/>
            <w:shd w:val="clear" w:fill="D6DCE4"/>
          </w:tcPr>
          <w:p>
            <w:r>
              <w:rPr>
                <w:b/>
                <w:sz w:val="18"/>
              </w:rPr>
              <w:t>228,6</w:t>
            </w:r>
          </w:p>
        </w:tc>
        <w:tc>
          <w:tcPr>
            <w:tcW w:type="dxa" w:w="1440"/>
            <w:shd w:val="clear" w:fill="D6DCE4"/>
          </w:tcPr>
          <w:p>
            <w:r>
              <w:rPr>
                <w:b/>
                <w:sz w:val="18"/>
              </w:rPr>
              <w:t>364</w:t>
            </w:r>
          </w:p>
        </w:tc>
        <w:tc>
          <w:tcPr>
            <w:tcW w:type="dxa" w:w="1440"/>
            <w:shd w:val="clear" w:fill="D6DCE4"/>
          </w:tcPr>
          <w:p>
            <w:r>
              <w:rPr>
                <w:b/>
                <w:sz w:val="18"/>
              </w:rPr>
              <w:t>135,4</w:t>
            </w:r>
          </w:p>
        </w:tc>
        <w:tc>
          <w:tcPr>
            <w:tcW w:type="dxa" w:w="1440"/>
            <w:shd w:val="clear" w:fill="D6DCE4"/>
          </w:tcPr>
          <w:p>
            <w:r>
              <w:rPr>
                <w:b/>
                <w:sz w:val="18"/>
              </w:rPr>
              <w:t>37,2 %</w:t>
            </w:r>
          </w:p>
        </w:tc>
        <w:tc>
          <w:tcPr>
            <w:tcW w:type="dxa" w:w="1440"/>
            <w:shd w:val="clear" w:fill="D6DCE4"/>
          </w:tcPr>
          <w:p>
            <w:r>
              <w:rPr>
                <w:b/>
                <w:sz w:val="18"/>
              </w:rPr>
            </w:r>
          </w:p>
        </w:tc>
      </w:tr>
    </w:tbl>
    <w:p>
      <w:pPr>
        <w:pStyle w:val="Heading1"/>
      </w:pPr>
      <w:r>
        <w:t>ICCP (Cumbre de Cóndores pte.)</w:t>
      </w:r>
    </w:p>
    <w:p>
      <w:r>
        <w:t>Con WES 57,6 m³ vs Sin WES 108,9 m³ → 47,1 % (51,3 m³).</w:t>
      </w:r>
    </w:p>
    <w:p>
      <w:r>
        <w:drawing>
          <wp:inline xmlns:a="http://schemas.openxmlformats.org/drawingml/2006/main" xmlns:pic="http://schemas.openxmlformats.org/drawingml/2006/picture">
            <wp:extent cx="4500000" cy="3197483"/>
            <wp:docPr id="3" name="Picture 3"/>
            <wp:cNvGraphicFramePr>
              <a:graphicFrameLocks noChangeAspect="1"/>
            </wp:cNvGraphicFramePr>
            <a:graphic>
              <a:graphicData uri="http://schemas.openxmlformats.org/drawingml/2006/picture">
                <pic:pic>
                  <pic:nvPicPr>
                    <pic:cNvPr id="0" name="02_barras_total_rejilla_por_periodo.png"/>
                    <pic:cNvPicPr/>
                  </pic:nvPicPr>
                  <pic:blipFill>
                    <a:blip r:embed="rId12"/>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4" name="Picture 4"/>
            <wp:cNvGraphicFramePr>
              <a:graphicFrameLocks noChangeAspect="1"/>
            </wp:cNvGraphicFramePr>
            <a:graphic>
              <a:graphicData uri="http://schemas.openxmlformats.org/drawingml/2006/picture">
                <pic:pic>
                  <pic:nvPicPr>
                    <pic:cNvPr id="0" name="04_area_Lunes.png"/>
                    <pic:cNvPicPr/>
                  </pic:nvPicPr>
                  <pic:blipFill>
                    <a:blip r:embed="rId1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5" name="Picture 5"/>
            <wp:cNvGraphicFramePr>
              <a:graphicFrameLocks noChangeAspect="1"/>
            </wp:cNvGraphicFramePr>
            <a:graphic>
              <a:graphicData uri="http://schemas.openxmlformats.org/drawingml/2006/picture">
                <pic:pic>
                  <pic:nvPicPr>
                    <pic:cNvPr id="0" name="05_area_Martes.png"/>
                    <pic:cNvPicPr/>
                  </pic:nvPicPr>
                  <pic:blipFill>
                    <a:blip r:embed="rId1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6" name="Picture 6"/>
            <wp:cNvGraphicFramePr>
              <a:graphicFrameLocks noChangeAspect="1"/>
            </wp:cNvGraphicFramePr>
            <a:graphic>
              <a:graphicData uri="http://schemas.openxmlformats.org/drawingml/2006/picture">
                <pic:pic>
                  <pic:nvPicPr>
                    <pic:cNvPr id="0" name="06_area_Miercoles.png"/>
                    <pic:cNvPicPr/>
                  </pic:nvPicPr>
                  <pic:blipFill>
                    <a:blip r:embed="rId15"/>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8849"/>
            <wp:docPr id="7" name="Picture 7"/>
            <wp:cNvGraphicFramePr>
              <a:graphicFrameLocks noChangeAspect="1"/>
            </wp:cNvGraphicFramePr>
            <a:graphic>
              <a:graphicData uri="http://schemas.openxmlformats.org/drawingml/2006/picture">
                <pic:pic>
                  <pic:nvPicPr>
                    <pic:cNvPr id="0" name="07_area_Jueves.png"/>
                    <pic:cNvPicPr/>
                  </pic:nvPicPr>
                  <pic:blipFill>
                    <a:blip r:embed="rId16"/>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8" name="Picture 8"/>
            <wp:cNvGraphicFramePr>
              <a:graphicFrameLocks noChangeAspect="1"/>
            </wp:cNvGraphicFramePr>
            <a:graphic>
              <a:graphicData uri="http://schemas.openxmlformats.org/drawingml/2006/picture">
                <pic:pic>
                  <pic:nvPicPr>
                    <pic:cNvPr id="0" name="03_area_promedio_24h.png"/>
                    <pic:cNvPicPr/>
                  </pic:nvPicPr>
                  <pic:blipFill>
                    <a:blip r:embed="rId17"/>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16,3</w:t>
            </w:r>
          </w:p>
        </w:tc>
        <w:tc>
          <w:tcPr>
            <w:tcW w:type="dxa" w:w="1728"/>
          </w:tcPr>
          <w:p>
            <w:r>
              <w:rPr>
                <w:sz w:val="18"/>
              </w:rPr>
              <w:t>21,2</w:t>
            </w:r>
          </w:p>
        </w:tc>
        <w:tc>
          <w:tcPr>
            <w:tcW w:type="dxa" w:w="1728"/>
          </w:tcPr>
          <w:p>
            <w:r>
              <w:rPr>
                <w:sz w:val="18"/>
              </w:rPr>
              <w:t>4,9</w:t>
            </w:r>
          </w:p>
        </w:tc>
        <w:tc>
          <w:tcPr>
            <w:tcW w:type="dxa" w:w="1728"/>
          </w:tcPr>
          <w:p>
            <w:r>
              <w:rPr>
                <w:sz w:val="18"/>
              </w:rPr>
              <w:t>23,1 %</w:t>
            </w:r>
          </w:p>
        </w:tc>
      </w:tr>
      <w:tr>
        <w:tc>
          <w:tcPr>
            <w:tcW w:type="dxa" w:w="1728"/>
          </w:tcPr>
          <w:p>
            <w:r>
              <w:rPr>
                <w:sz w:val="18"/>
              </w:rPr>
              <w:t>Mar 11 vs 18</w:t>
            </w:r>
          </w:p>
        </w:tc>
        <w:tc>
          <w:tcPr>
            <w:tcW w:type="dxa" w:w="1728"/>
          </w:tcPr>
          <w:p>
            <w:r>
              <w:rPr>
                <w:sz w:val="18"/>
              </w:rPr>
              <w:t>15,5</w:t>
            </w:r>
          </w:p>
        </w:tc>
        <w:tc>
          <w:tcPr>
            <w:tcW w:type="dxa" w:w="1728"/>
          </w:tcPr>
          <w:p>
            <w:r>
              <w:rPr>
                <w:sz w:val="18"/>
              </w:rPr>
              <w:t>21,4</w:t>
            </w:r>
          </w:p>
        </w:tc>
        <w:tc>
          <w:tcPr>
            <w:tcW w:type="dxa" w:w="1728"/>
          </w:tcPr>
          <w:p>
            <w:r>
              <w:rPr>
                <w:sz w:val="18"/>
              </w:rPr>
              <w:t>5,9</w:t>
            </w:r>
          </w:p>
        </w:tc>
        <w:tc>
          <w:tcPr>
            <w:tcW w:type="dxa" w:w="1728"/>
          </w:tcPr>
          <w:p>
            <w:r>
              <w:rPr>
                <w:sz w:val="18"/>
              </w:rPr>
              <w:t>27,6 %</w:t>
            </w:r>
          </w:p>
        </w:tc>
      </w:tr>
      <w:tr>
        <w:tc>
          <w:tcPr>
            <w:tcW w:type="dxa" w:w="1728"/>
          </w:tcPr>
          <w:p>
            <w:r>
              <w:rPr>
                <w:sz w:val="18"/>
              </w:rPr>
              <w:t>Mié 12 vs 19</w:t>
            </w:r>
          </w:p>
        </w:tc>
        <w:tc>
          <w:tcPr>
            <w:tcW w:type="dxa" w:w="1728"/>
          </w:tcPr>
          <w:p>
            <w:r>
              <w:rPr>
                <w:sz w:val="18"/>
              </w:rPr>
              <w:t>13,5</w:t>
            </w:r>
          </w:p>
        </w:tc>
        <w:tc>
          <w:tcPr>
            <w:tcW w:type="dxa" w:w="1728"/>
          </w:tcPr>
          <w:p>
            <w:r>
              <w:rPr>
                <w:sz w:val="18"/>
              </w:rPr>
              <w:t>49,7</w:t>
            </w:r>
          </w:p>
        </w:tc>
        <w:tc>
          <w:tcPr>
            <w:tcW w:type="dxa" w:w="1728"/>
          </w:tcPr>
          <w:p>
            <w:r>
              <w:rPr>
                <w:sz w:val="18"/>
              </w:rPr>
              <w:t>36,2</w:t>
            </w:r>
          </w:p>
        </w:tc>
        <w:tc>
          <w:tcPr>
            <w:tcW w:type="dxa" w:w="1728"/>
          </w:tcPr>
          <w:p>
            <w:r>
              <w:rPr>
                <w:sz w:val="18"/>
              </w:rPr>
              <w:t>72,8 %</w:t>
            </w:r>
          </w:p>
        </w:tc>
      </w:tr>
      <w:tr>
        <w:tc>
          <w:tcPr>
            <w:tcW w:type="dxa" w:w="1728"/>
          </w:tcPr>
          <w:p>
            <w:r>
              <w:rPr>
                <w:sz w:val="18"/>
              </w:rPr>
              <w:t>Jue 13 vs 20 (00:00–16:59)</w:t>
            </w:r>
          </w:p>
        </w:tc>
        <w:tc>
          <w:tcPr>
            <w:tcW w:type="dxa" w:w="1728"/>
          </w:tcPr>
          <w:p>
            <w:r>
              <w:rPr>
                <w:sz w:val="18"/>
              </w:rPr>
              <w:t>12,3</w:t>
            </w:r>
          </w:p>
        </w:tc>
        <w:tc>
          <w:tcPr>
            <w:tcW w:type="dxa" w:w="1728"/>
          </w:tcPr>
          <w:p>
            <w:r>
              <w:rPr>
                <w:sz w:val="18"/>
              </w:rPr>
              <w:t>16,6</w:t>
            </w:r>
          </w:p>
        </w:tc>
        <w:tc>
          <w:tcPr>
            <w:tcW w:type="dxa" w:w="1728"/>
          </w:tcPr>
          <w:p>
            <w:r>
              <w:rPr>
                <w:sz w:val="18"/>
              </w:rPr>
              <w:t>4,3</w:t>
            </w:r>
          </w:p>
        </w:tc>
        <w:tc>
          <w:tcPr>
            <w:tcW w:type="dxa" w:w="1728"/>
          </w:tcPr>
          <w:p>
            <w:r>
              <w:rPr>
                <w:sz w:val="18"/>
              </w:rPr>
              <w:t>25,9 %</w:t>
            </w:r>
          </w:p>
        </w:tc>
      </w:tr>
    </w:tbl>
    <w:p>
      <w:pPr>
        <w:pStyle w:val="Heading1"/>
      </w:pPr>
      <w:r>
        <w:t>Esc. Lo Velásquez</w:t>
      </w:r>
    </w:p>
    <w:p>
      <w:r>
        <w:t>Con WES 29 m³ vs Sin WES 21,5 m³ → -35,1 % (-7,5 m³).</w:t>
      </w:r>
    </w:p>
    <w:p>
      <w:r>
        <w:drawing>
          <wp:inline xmlns:a="http://schemas.openxmlformats.org/drawingml/2006/main" xmlns:pic="http://schemas.openxmlformats.org/drawingml/2006/picture">
            <wp:extent cx="4500000" cy="3194391"/>
            <wp:docPr id="9" name="Picture 9"/>
            <wp:cNvGraphicFramePr>
              <a:graphicFrameLocks noChangeAspect="1"/>
            </wp:cNvGraphicFramePr>
            <a:graphic>
              <a:graphicData uri="http://schemas.openxmlformats.org/drawingml/2006/picture">
                <pic:pic>
                  <pic:nvPicPr>
                    <pic:cNvPr id="0" name="02_barras_total_rejilla_por_periodo.png"/>
                    <pic:cNvPicPr/>
                  </pic:nvPicPr>
                  <pic:blipFill>
                    <a:blip r:embed="rId18"/>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0" name="Picture 10"/>
            <wp:cNvGraphicFramePr>
              <a:graphicFrameLocks noChangeAspect="1"/>
            </wp:cNvGraphicFramePr>
            <a:graphic>
              <a:graphicData uri="http://schemas.openxmlformats.org/drawingml/2006/picture">
                <pic:pic>
                  <pic:nvPicPr>
                    <pic:cNvPr id="0" name="04_area_Lunes.png"/>
                    <pic:cNvPicPr/>
                  </pic:nvPicPr>
                  <pic:blipFill>
                    <a:blip r:embed="rId19"/>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1" name="Picture 11"/>
            <wp:cNvGraphicFramePr>
              <a:graphicFrameLocks noChangeAspect="1"/>
            </wp:cNvGraphicFramePr>
            <a:graphic>
              <a:graphicData uri="http://schemas.openxmlformats.org/drawingml/2006/picture">
                <pic:pic>
                  <pic:nvPicPr>
                    <pic:cNvPr id="0" name="05_area_Martes.png"/>
                    <pic:cNvPicPr/>
                  </pic:nvPicPr>
                  <pic:blipFill>
                    <a:blip r:embed="rId20"/>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2" name="Picture 12"/>
            <wp:cNvGraphicFramePr>
              <a:graphicFrameLocks noChangeAspect="1"/>
            </wp:cNvGraphicFramePr>
            <a:graphic>
              <a:graphicData uri="http://schemas.openxmlformats.org/drawingml/2006/picture">
                <pic:pic>
                  <pic:nvPicPr>
                    <pic:cNvPr id="0" name="06_area_Miercoles.png"/>
                    <pic:cNvPicPr/>
                  </pic:nvPicPr>
                  <pic:blipFill>
                    <a:blip r:embed="rId2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3" name="Picture 13"/>
            <wp:cNvGraphicFramePr>
              <a:graphicFrameLocks noChangeAspect="1"/>
            </wp:cNvGraphicFramePr>
            <a:graphic>
              <a:graphicData uri="http://schemas.openxmlformats.org/drawingml/2006/picture">
                <pic:pic>
                  <pic:nvPicPr>
                    <pic:cNvPr id="0" name="07_area_Jueves.png"/>
                    <pic:cNvPicPr/>
                  </pic:nvPicPr>
                  <pic:blipFill>
                    <a:blip r:embed="rId22"/>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4" name="Picture 14"/>
            <wp:cNvGraphicFramePr>
              <a:graphicFrameLocks noChangeAspect="1"/>
            </wp:cNvGraphicFramePr>
            <a:graphic>
              <a:graphicData uri="http://schemas.openxmlformats.org/drawingml/2006/picture">
                <pic:pic>
                  <pic:nvPicPr>
                    <pic:cNvPr id="0" name="03_area_promedio_24h.png"/>
                    <pic:cNvPicPr/>
                  </pic:nvPicPr>
                  <pic:blipFill>
                    <a:blip r:embed="rId23"/>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7,8</w:t>
            </w:r>
          </w:p>
        </w:tc>
        <w:tc>
          <w:tcPr>
            <w:tcW w:type="dxa" w:w="1728"/>
          </w:tcPr>
          <w:p>
            <w:r>
              <w:rPr>
                <w:sz w:val="18"/>
              </w:rPr>
              <w:t>4,9</w:t>
            </w:r>
          </w:p>
        </w:tc>
        <w:tc>
          <w:tcPr>
            <w:tcW w:type="dxa" w:w="1728"/>
          </w:tcPr>
          <w:p>
            <w:r>
              <w:rPr>
                <w:sz w:val="18"/>
              </w:rPr>
              <w:t>-2,9</w:t>
            </w:r>
          </w:p>
        </w:tc>
        <w:tc>
          <w:tcPr>
            <w:tcW w:type="dxa" w:w="1728"/>
          </w:tcPr>
          <w:p>
            <w:r>
              <w:rPr>
                <w:sz w:val="18"/>
              </w:rPr>
              <w:t>-58,9 %</w:t>
            </w:r>
          </w:p>
        </w:tc>
      </w:tr>
      <w:tr>
        <w:tc>
          <w:tcPr>
            <w:tcW w:type="dxa" w:w="1728"/>
          </w:tcPr>
          <w:p>
            <w:r>
              <w:rPr>
                <w:sz w:val="18"/>
              </w:rPr>
              <w:t>Mar 11 vs 18</w:t>
            </w:r>
          </w:p>
        </w:tc>
        <w:tc>
          <w:tcPr>
            <w:tcW w:type="dxa" w:w="1728"/>
          </w:tcPr>
          <w:p>
            <w:r>
              <w:rPr>
                <w:sz w:val="18"/>
              </w:rPr>
              <w:t>7,5</w:t>
            </w:r>
          </w:p>
        </w:tc>
        <w:tc>
          <w:tcPr>
            <w:tcW w:type="dxa" w:w="1728"/>
          </w:tcPr>
          <w:p>
            <w:r>
              <w:rPr>
                <w:sz w:val="18"/>
              </w:rPr>
              <w:t>5,9</w:t>
            </w:r>
          </w:p>
        </w:tc>
        <w:tc>
          <w:tcPr>
            <w:tcW w:type="dxa" w:w="1728"/>
          </w:tcPr>
          <w:p>
            <w:r>
              <w:rPr>
                <w:sz w:val="18"/>
              </w:rPr>
              <w:t>-1,7</w:t>
            </w:r>
          </w:p>
        </w:tc>
        <w:tc>
          <w:tcPr>
            <w:tcW w:type="dxa" w:w="1728"/>
          </w:tcPr>
          <w:p>
            <w:r>
              <w:rPr>
                <w:sz w:val="18"/>
              </w:rPr>
              <w:t>-28,5 %</w:t>
            </w:r>
          </w:p>
        </w:tc>
      </w:tr>
      <w:tr>
        <w:tc>
          <w:tcPr>
            <w:tcW w:type="dxa" w:w="1728"/>
          </w:tcPr>
          <w:p>
            <w:r>
              <w:rPr>
                <w:sz w:val="18"/>
              </w:rPr>
              <w:t>Mié 12 vs 19</w:t>
            </w:r>
          </w:p>
        </w:tc>
        <w:tc>
          <w:tcPr>
            <w:tcW w:type="dxa" w:w="1728"/>
          </w:tcPr>
          <w:p>
            <w:r>
              <w:rPr>
                <w:sz w:val="18"/>
              </w:rPr>
              <w:t>7,4</w:t>
            </w:r>
          </w:p>
        </w:tc>
        <w:tc>
          <w:tcPr>
            <w:tcW w:type="dxa" w:w="1728"/>
          </w:tcPr>
          <w:p>
            <w:r>
              <w:rPr>
                <w:sz w:val="18"/>
              </w:rPr>
              <w:t>5,6</w:t>
            </w:r>
          </w:p>
        </w:tc>
        <w:tc>
          <w:tcPr>
            <w:tcW w:type="dxa" w:w="1728"/>
          </w:tcPr>
          <w:p>
            <w:r>
              <w:rPr>
                <w:sz w:val="18"/>
              </w:rPr>
              <w:t>-1,8</w:t>
            </w:r>
          </w:p>
        </w:tc>
        <w:tc>
          <w:tcPr>
            <w:tcW w:type="dxa" w:w="1728"/>
          </w:tcPr>
          <w:p>
            <w:r>
              <w:rPr>
                <w:sz w:val="18"/>
              </w:rPr>
              <w:t>-32,6 %</w:t>
            </w:r>
          </w:p>
        </w:tc>
      </w:tr>
      <w:tr>
        <w:tc>
          <w:tcPr>
            <w:tcW w:type="dxa" w:w="1728"/>
          </w:tcPr>
          <w:p>
            <w:r>
              <w:rPr>
                <w:sz w:val="18"/>
              </w:rPr>
              <w:t>Jue 13 vs 20 (00:00–16:59)</w:t>
            </w:r>
          </w:p>
        </w:tc>
        <w:tc>
          <w:tcPr>
            <w:tcW w:type="dxa" w:w="1728"/>
          </w:tcPr>
          <w:p>
            <w:r>
              <w:rPr>
                <w:sz w:val="18"/>
              </w:rPr>
              <w:t>6,4</w:t>
            </w:r>
          </w:p>
        </w:tc>
        <w:tc>
          <w:tcPr>
            <w:tcW w:type="dxa" w:w="1728"/>
          </w:tcPr>
          <w:p>
            <w:r>
              <w:rPr>
                <w:sz w:val="18"/>
              </w:rPr>
              <w:t>5,2</w:t>
            </w:r>
          </w:p>
        </w:tc>
        <w:tc>
          <w:tcPr>
            <w:tcW w:type="dxa" w:w="1728"/>
          </w:tcPr>
          <w:p>
            <w:r>
              <w:rPr>
                <w:sz w:val="18"/>
              </w:rPr>
              <w:t>-1,2</w:t>
            </w:r>
          </w:p>
        </w:tc>
        <w:tc>
          <w:tcPr>
            <w:tcW w:type="dxa" w:w="1728"/>
          </w:tcPr>
          <w:p>
            <w:r>
              <w:rPr>
                <w:sz w:val="18"/>
              </w:rPr>
              <w:t>-22,7 %</w:t>
            </w:r>
          </w:p>
        </w:tc>
      </w:tr>
    </w:tbl>
    <w:p>
      <w:pPr>
        <w:pStyle w:val="Heading1"/>
      </w:pPr>
      <w:r>
        <w:t>Gimnasio municipal</w:t>
      </w:r>
    </w:p>
    <w:p>
      <w:r>
        <w:t>Con WES 25,7 m³ vs Sin WES 19,5 m³ → -31,5 % (-6,2 m³).</w:t>
      </w:r>
    </w:p>
    <w:p>
      <w:r>
        <w:drawing>
          <wp:inline xmlns:a="http://schemas.openxmlformats.org/drawingml/2006/main" xmlns:pic="http://schemas.openxmlformats.org/drawingml/2006/picture">
            <wp:extent cx="4500000" cy="3194391"/>
            <wp:docPr id="15" name="Picture 15"/>
            <wp:cNvGraphicFramePr>
              <a:graphicFrameLocks noChangeAspect="1"/>
            </wp:cNvGraphicFramePr>
            <a:graphic>
              <a:graphicData uri="http://schemas.openxmlformats.org/drawingml/2006/picture">
                <pic:pic>
                  <pic:nvPicPr>
                    <pic:cNvPr id="0" name="02_barras_total_rejilla_por_periodo.png"/>
                    <pic:cNvPicPr/>
                  </pic:nvPicPr>
                  <pic:blipFill>
                    <a:blip r:embed="rId24"/>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6" name="Picture 16"/>
            <wp:cNvGraphicFramePr>
              <a:graphicFrameLocks noChangeAspect="1"/>
            </wp:cNvGraphicFramePr>
            <a:graphic>
              <a:graphicData uri="http://schemas.openxmlformats.org/drawingml/2006/picture">
                <pic:pic>
                  <pic:nvPicPr>
                    <pic:cNvPr id="0" name="04_area_Lunes.png"/>
                    <pic:cNvPicPr/>
                  </pic:nvPicPr>
                  <pic:blipFill>
                    <a:blip r:embed="rId25"/>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17" name="Picture 17"/>
            <wp:cNvGraphicFramePr>
              <a:graphicFrameLocks noChangeAspect="1"/>
            </wp:cNvGraphicFramePr>
            <a:graphic>
              <a:graphicData uri="http://schemas.openxmlformats.org/drawingml/2006/picture">
                <pic:pic>
                  <pic:nvPicPr>
                    <pic:cNvPr id="0" name="05_area_Martes.png"/>
                    <pic:cNvPicPr/>
                  </pic:nvPicPr>
                  <pic:blipFill>
                    <a:blip r:embed="rId26"/>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18" name="Picture 18"/>
            <wp:cNvGraphicFramePr>
              <a:graphicFrameLocks noChangeAspect="1"/>
            </wp:cNvGraphicFramePr>
            <a:graphic>
              <a:graphicData uri="http://schemas.openxmlformats.org/drawingml/2006/picture">
                <pic:pic>
                  <pic:nvPicPr>
                    <pic:cNvPr id="0" name="06_area_Miercoles.png"/>
                    <pic:cNvPicPr/>
                  </pic:nvPicPr>
                  <pic:blipFill>
                    <a:blip r:embed="rId2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9" name="Picture 19"/>
            <wp:cNvGraphicFramePr>
              <a:graphicFrameLocks noChangeAspect="1"/>
            </wp:cNvGraphicFramePr>
            <a:graphic>
              <a:graphicData uri="http://schemas.openxmlformats.org/drawingml/2006/picture">
                <pic:pic>
                  <pic:nvPicPr>
                    <pic:cNvPr id="0" name="07_area_Jueves.png"/>
                    <pic:cNvPicPr/>
                  </pic:nvPicPr>
                  <pic:blipFill>
                    <a:blip r:embed="rId28"/>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0" name="Picture 20"/>
            <wp:cNvGraphicFramePr>
              <a:graphicFrameLocks noChangeAspect="1"/>
            </wp:cNvGraphicFramePr>
            <a:graphic>
              <a:graphicData uri="http://schemas.openxmlformats.org/drawingml/2006/picture">
                <pic:pic>
                  <pic:nvPicPr>
                    <pic:cNvPr id="0" name="03_area_promedio_24h.png"/>
                    <pic:cNvPicPr/>
                  </pic:nvPicPr>
                  <pic:blipFill>
                    <a:blip r:embed="rId29"/>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6,3</w:t>
            </w:r>
          </w:p>
        </w:tc>
        <w:tc>
          <w:tcPr>
            <w:tcW w:type="dxa" w:w="1728"/>
          </w:tcPr>
          <w:p>
            <w:r>
              <w:rPr>
                <w:sz w:val="18"/>
              </w:rPr>
              <w:t>8</w:t>
            </w:r>
          </w:p>
        </w:tc>
        <w:tc>
          <w:tcPr>
            <w:tcW w:type="dxa" w:w="1728"/>
          </w:tcPr>
          <w:p>
            <w:r>
              <w:rPr>
                <w:sz w:val="18"/>
              </w:rPr>
              <w:t>1,7</w:t>
            </w:r>
          </w:p>
        </w:tc>
        <w:tc>
          <w:tcPr>
            <w:tcW w:type="dxa" w:w="1728"/>
          </w:tcPr>
          <w:p>
            <w:r>
              <w:rPr>
                <w:sz w:val="18"/>
              </w:rPr>
              <w:t>21,3 %</w:t>
            </w:r>
          </w:p>
        </w:tc>
      </w:tr>
      <w:tr>
        <w:tc>
          <w:tcPr>
            <w:tcW w:type="dxa" w:w="1728"/>
          </w:tcPr>
          <w:p>
            <w:r>
              <w:rPr>
                <w:sz w:val="18"/>
              </w:rPr>
              <w:t>Mar 11 vs 18</w:t>
            </w:r>
          </w:p>
        </w:tc>
        <w:tc>
          <w:tcPr>
            <w:tcW w:type="dxa" w:w="1728"/>
          </w:tcPr>
          <w:p>
            <w:r>
              <w:rPr>
                <w:sz w:val="18"/>
              </w:rPr>
              <w:t>6,9</w:t>
            </w:r>
          </w:p>
        </w:tc>
        <w:tc>
          <w:tcPr>
            <w:tcW w:type="dxa" w:w="1728"/>
          </w:tcPr>
          <w:p>
            <w:r>
              <w:rPr>
                <w:sz w:val="18"/>
              </w:rPr>
              <w:t>5,6</w:t>
            </w:r>
          </w:p>
        </w:tc>
        <w:tc>
          <w:tcPr>
            <w:tcW w:type="dxa" w:w="1728"/>
          </w:tcPr>
          <w:p>
            <w:r>
              <w:rPr>
                <w:sz w:val="18"/>
              </w:rPr>
              <w:t>-1,3</w:t>
            </w:r>
          </w:p>
        </w:tc>
        <w:tc>
          <w:tcPr>
            <w:tcW w:type="dxa" w:w="1728"/>
          </w:tcPr>
          <w:p>
            <w:r>
              <w:rPr>
                <w:sz w:val="18"/>
              </w:rPr>
              <w:t>-23,9 %</w:t>
            </w:r>
          </w:p>
        </w:tc>
      </w:tr>
      <w:tr>
        <w:tc>
          <w:tcPr>
            <w:tcW w:type="dxa" w:w="1728"/>
          </w:tcPr>
          <w:p>
            <w:r>
              <w:rPr>
                <w:sz w:val="18"/>
              </w:rPr>
              <w:t>Mié 12 vs 19</w:t>
            </w:r>
          </w:p>
        </w:tc>
        <w:tc>
          <w:tcPr>
            <w:tcW w:type="dxa" w:w="1728"/>
          </w:tcPr>
          <w:p>
            <w:r>
              <w:rPr>
                <w:sz w:val="18"/>
              </w:rPr>
              <w:t>6,7</w:t>
            </w:r>
          </w:p>
        </w:tc>
        <w:tc>
          <w:tcPr>
            <w:tcW w:type="dxa" w:w="1728"/>
          </w:tcPr>
          <w:p>
            <w:r>
              <w:rPr>
                <w:sz w:val="18"/>
              </w:rPr>
              <w:t>3,6</w:t>
            </w:r>
          </w:p>
        </w:tc>
        <w:tc>
          <w:tcPr>
            <w:tcW w:type="dxa" w:w="1728"/>
          </w:tcPr>
          <w:p>
            <w:r>
              <w:rPr>
                <w:sz w:val="18"/>
              </w:rPr>
              <w:t>-3,1</w:t>
            </w:r>
          </w:p>
        </w:tc>
        <w:tc>
          <w:tcPr>
            <w:tcW w:type="dxa" w:w="1728"/>
          </w:tcPr>
          <w:p>
            <w:r>
              <w:rPr>
                <w:sz w:val="18"/>
              </w:rPr>
              <w:t>-87,7 %</w:t>
            </w:r>
          </w:p>
        </w:tc>
      </w:tr>
      <w:tr>
        <w:tc>
          <w:tcPr>
            <w:tcW w:type="dxa" w:w="1728"/>
          </w:tcPr>
          <w:p>
            <w:r>
              <w:rPr>
                <w:sz w:val="18"/>
              </w:rPr>
              <w:t>Jue 13 vs 20 (00:00–16:59)</w:t>
            </w:r>
          </w:p>
        </w:tc>
        <w:tc>
          <w:tcPr>
            <w:tcW w:type="dxa" w:w="1728"/>
          </w:tcPr>
          <w:p>
            <w:r>
              <w:rPr>
                <w:sz w:val="18"/>
              </w:rPr>
              <w:t>5,8</w:t>
            </w:r>
          </w:p>
        </w:tc>
        <w:tc>
          <w:tcPr>
            <w:tcW w:type="dxa" w:w="1728"/>
          </w:tcPr>
          <w:p>
            <w:r>
              <w:rPr>
                <w:sz w:val="18"/>
              </w:rPr>
              <w:t>2,4</w:t>
            </w:r>
          </w:p>
        </w:tc>
        <w:tc>
          <w:tcPr>
            <w:tcW w:type="dxa" w:w="1728"/>
          </w:tcPr>
          <w:p>
            <w:r>
              <w:rPr>
                <w:sz w:val="18"/>
              </w:rPr>
              <w:t>-3,4</w:t>
            </w:r>
          </w:p>
        </w:tc>
        <w:tc>
          <w:tcPr>
            <w:tcW w:type="dxa" w:w="1728"/>
          </w:tcPr>
          <w:p>
            <w:r>
              <w:rPr>
                <w:sz w:val="18"/>
              </w:rPr>
              <w:t>-144,1 %</w:t>
            </w:r>
          </w:p>
        </w:tc>
      </w:tr>
    </w:tbl>
    <w:p>
      <w:pPr>
        <w:pStyle w:val="Heading1"/>
      </w:pPr>
      <w:r>
        <w:t>Piscina municipal</w:t>
      </w:r>
    </w:p>
    <w:p>
      <w:r>
        <w:t>Con WES 116,3 m³ vs Sin WES 214 m³ → 45,7 % (97,8 m³).</w:t>
      </w:r>
    </w:p>
    <w:p>
      <w:r>
        <w:drawing>
          <wp:inline xmlns:a="http://schemas.openxmlformats.org/drawingml/2006/main" xmlns:pic="http://schemas.openxmlformats.org/drawingml/2006/picture">
            <wp:extent cx="4500000" cy="3197483"/>
            <wp:docPr id="21" name="Picture 21"/>
            <wp:cNvGraphicFramePr>
              <a:graphicFrameLocks noChangeAspect="1"/>
            </wp:cNvGraphicFramePr>
            <a:graphic>
              <a:graphicData uri="http://schemas.openxmlformats.org/drawingml/2006/picture">
                <pic:pic>
                  <pic:nvPicPr>
                    <pic:cNvPr id="0" name="02_barras_total_rejilla_por_periodo.png"/>
                    <pic:cNvPicPr/>
                  </pic:nvPicPr>
                  <pic:blipFill>
                    <a:blip r:embed="rId30"/>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22" name="Picture 22"/>
            <wp:cNvGraphicFramePr>
              <a:graphicFrameLocks noChangeAspect="1"/>
            </wp:cNvGraphicFramePr>
            <a:graphic>
              <a:graphicData uri="http://schemas.openxmlformats.org/drawingml/2006/picture">
                <pic:pic>
                  <pic:nvPicPr>
                    <pic:cNvPr id="0" name="04_area_Lunes.png"/>
                    <pic:cNvPicPr/>
                  </pic:nvPicPr>
                  <pic:blipFill>
                    <a:blip r:embed="rId3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3" name="Picture 23"/>
            <wp:cNvGraphicFramePr>
              <a:graphicFrameLocks noChangeAspect="1"/>
            </wp:cNvGraphicFramePr>
            <a:graphic>
              <a:graphicData uri="http://schemas.openxmlformats.org/drawingml/2006/picture">
                <pic:pic>
                  <pic:nvPicPr>
                    <pic:cNvPr id="0" name="05_area_Martes.png"/>
                    <pic:cNvPicPr/>
                  </pic:nvPicPr>
                  <pic:blipFill>
                    <a:blip r:embed="rId32"/>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4" name="Picture 24"/>
            <wp:cNvGraphicFramePr>
              <a:graphicFrameLocks noChangeAspect="1"/>
            </wp:cNvGraphicFramePr>
            <a:graphic>
              <a:graphicData uri="http://schemas.openxmlformats.org/drawingml/2006/picture">
                <pic:pic>
                  <pic:nvPicPr>
                    <pic:cNvPr id="0" name="06_area_Miercoles.png"/>
                    <pic:cNvPicPr/>
                  </pic:nvPicPr>
                  <pic:blipFill>
                    <a:blip r:embed="rId3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5" name="Picture 25"/>
            <wp:cNvGraphicFramePr>
              <a:graphicFrameLocks noChangeAspect="1"/>
            </wp:cNvGraphicFramePr>
            <a:graphic>
              <a:graphicData uri="http://schemas.openxmlformats.org/drawingml/2006/picture">
                <pic:pic>
                  <pic:nvPicPr>
                    <pic:cNvPr id="0" name="07_area_Jueves.png"/>
                    <pic:cNvPicPr/>
                  </pic:nvPicPr>
                  <pic:blipFill>
                    <a:blip r:embed="rId3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6" name="Picture 26"/>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31,1</w:t>
            </w:r>
          </w:p>
        </w:tc>
        <w:tc>
          <w:tcPr>
            <w:tcW w:type="dxa" w:w="1728"/>
          </w:tcPr>
          <w:p>
            <w:r>
              <w:rPr>
                <w:sz w:val="18"/>
              </w:rPr>
              <w:t>56,1</w:t>
            </w:r>
          </w:p>
        </w:tc>
        <w:tc>
          <w:tcPr>
            <w:tcW w:type="dxa" w:w="1728"/>
          </w:tcPr>
          <w:p>
            <w:r>
              <w:rPr>
                <w:sz w:val="18"/>
              </w:rPr>
              <w:t>25,1</w:t>
            </w:r>
          </w:p>
        </w:tc>
        <w:tc>
          <w:tcPr>
            <w:tcW w:type="dxa" w:w="1728"/>
          </w:tcPr>
          <w:p>
            <w:r>
              <w:rPr>
                <w:sz w:val="18"/>
              </w:rPr>
              <w:t>44,7 %</w:t>
            </w:r>
          </w:p>
        </w:tc>
      </w:tr>
      <w:tr>
        <w:tc>
          <w:tcPr>
            <w:tcW w:type="dxa" w:w="1728"/>
          </w:tcPr>
          <w:p>
            <w:r>
              <w:rPr>
                <w:sz w:val="18"/>
              </w:rPr>
              <w:t>Mar 11 vs 18</w:t>
            </w:r>
          </w:p>
        </w:tc>
        <w:tc>
          <w:tcPr>
            <w:tcW w:type="dxa" w:w="1728"/>
          </w:tcPr>
          <w:p>
            <w:r>
              <w:rPr>
                <w:sz w:val="18"/>
              </w:rPr>
              <w:t>31,4</w:t>
            </w:r>
          </w:p>
        </w:tc>
        <w:tc>
          <w:tcPr>
            <w:tcW w:type="dxa" w:w="1728"/>
          </w:tcPr>
          <w:p>
            <w:r>
              <w:rPr>
                <w:sz w:val="18"/>
              </w:rPr>
              <w:t>58,5</w:t>
            </w:r>
          </w:p>
        </w:tc>
        <w:tc>
          <w:tcPr>
            <w:tcW w:type="dxa" w:w="1728"/>
          </w:tcPr>
          <w:p>
            <w:r>
              <w:rPr>
                <w:sz w:val="18"/>
              </w:rPr>
              <w:t>27,1</w:t>
            </w:r>
          </w:p>
        </w:tc>
        <w:tc>
          <w:tcPr>
            <w:tcW w:type="dxa" w:w="1728"/>
          </w:tcPr>
          <w:p>
            <w:r>
              <w:rPr>
                <w:sz w:val="18"/>
              </w:rPr>
              <w:t>46,3 %</w:t>
            </w:r>
          </w:p>
        </w:tc>
      </w:tr>
      <w:tr>
        <w:tc>
          <w:tcPr>
            <w:tcW w:type="dxa" w:w="1728"/>
          </w:tcPr>
          <w:p>
            <w:r>
              <w:rPr>
                <w:sz w:val="18"/>
              </w:rPr>
              <w:t>Mié 12 vs 19</w:t>
            </w:r>
          </w:p>
        </w:tc>
        <w:tc>
          <w:tcPr>
            <w:tcW w:type="dxa" w:w="1728"/>
          </w:tcPr>
          <w:p>
            <w:r>
              <w:rPr>
                <w:sz w:val="18"/>
              </w:rPr>
              <w:t>31,1</w:t>
            </w:r>
          </w:p>
        </w:tc>
        <w:tc>
          <w:tcPr>
            <w:tcW w:type="dxa" w:w="1728"/>
          </w:tcPr>
          <w:p>
            <w:r>
              <w:rPr>
                <w:sz w:val="18"/>
              </w:rPr>
              <w:t>58,4</w:t>
            </w:r>
          </w:p>
        </w:tc>
        <w:tc>
          <w:tcPr>
            <w:tcW w:type="dxa" w:w="1728"/>
          </w:tcPr>
          <w:p>
            <w:r>
              <w:rPr>
                <w:sz w:val="18"/>
              </w:rPr>
              <w:t>27,2</w:t>
            </w:r>
          </w:p>
        </w:tc>
        <w:tc>
          <w:tcPr>
            <w:tcW w:type="dxa" w:w="1728"/>
          </w:tcPr>
          <w:p>
            <w:r>
              <w:rPr>
                <w:sz w:val="18"/>
              </w:rPr>
              <w:t>46,7 %</w:t>
            </w:r>
          </w:p>
        </w:tc>
      </w:tr>
      <w:tr>
        <w:tc>
          <w:tcPr>
            <w:tcW w:type="dxa" w:w="1728"/>
          </w:tcPr>
          <w:p>
            <w:r>
              <w:rPr>
                <w:sz w:val="18"/>
              </w:rPr>
              <w:t>Jue 13 vs 20 (00:00–16:59)</w:t>
            </w:r>
          </w:p>
        </w:tc>
        <w:tc>
          <w:tcPr>
            <w:tcW w:type="dxa" w:w="1728"/>
          </w:tcPr>
          <w:p>
            <w:r>
              <w:rPr>
                <w:sz w:val="18"/>
              </w:rPr>
              <w:t>22,6</w:t>
            </w:r>
          </w:p>
        </w:tc>
        <w:tc>
          <w:tcPr>
            <w:tcW w:type="dxa" w:w="1728"/>
          </w:tcPr>
          <w:p>
            <w:r>
              <w:rPr>
                <w:sz w:val="18"/>
              </w:rPr>
              <w:t>41</w:t>
            </w:r>
          </w:p>
        </w:tc>
        <w:tc>
          <w:tcPr>
            <w:tcW w:type="dxa" w:w="1728"/>
          </w:tcPr>
          <w:p>
            <w:r>
              <w:rPr>
                <w:sz w:val="18"/>
              </w:rPr>
              <w:t>18,4</w:t>
            </w:r>
          </w:p>
        </w:tc>
        <w:tc>
          <w:tcPr>
            <w:tcW w:type="dxa" w:w="1728"/>
          </w:tcPr>
          <w:p>
            <w:r>
              <w:rPr>
                <w:sz w:val="18"/>
              </w:rPr>
              <w:t>44,9 %</w:t>
            </w:r>
          </w:p>
        </w:tc>
      </w:tr>
    </w:tbl>
    <w:p>
      <w:pPr>
        <w:pStyle w:val="Heading1"/>
      </w:pPr>
      <w:r>
        <w:t>Conclusiones</w:t>
      </w:r>
    </w:p>
    <w:p>
      <w:r>
        <w:t>La comparación es la más limpia disponible: misma estación, mismos días de la semana y la última semana completa con control WES (10–13 ago) contra la primera semana sin control (17–20 ago). El aumento se concentra en ICCP y piscina municipal; escuela y gimnasio no explican el salto de volumen.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