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80" w:after="120"/>
        <w:jc w:val="center"/>
      </w:pPr>
      <w:r>
        <w:rPr>
          <w:rFonts w:ascii="Calibri" w:hAnsi="Calibri"/>
          <w:color w:val="404040"/>
          <w:sz w:val="22"/>
        </w:rPr>
        <w:t>Informe de Auditoría</w:t>
      </w:r>
    </w:p>
    <w:p>
      <w:pPr>
        <w:spacing w:before="40" w:after="160"/>
        <w:jc w:val="center"/>
      </w:pPr>
      <w:r>
        <w:rPr>
          <w:rFonts w:ascii="Calibri" w:hAnsi="Calibri"/>
          <w:i/>
          <w:color w:val="5A5A5A"/>
          <w:sz w:val="20"/>
        </w:rPr>
        <w:t>Auditoria_Esc._Lo_Velásquez_000017-04</w:t>
      </w:r>
    </w:p>
    <w:p>
      <w:pPr>
        <w:spacing w:after="80"/>
        <w:jc w:val="center"/>
      </w:pPr>
      <w:r>
        <w:rPr>
          <w:rFonts w:ascii="Calibri" w:hAnsi="Calibri"/>
          <w:b/>
          <w:color w:val="1F4788"/>
          <w:sz w:val="34"/>
        </w:rPr>
        <w:t>Esc. Lo Velásquez</w:t>
      </w:r>
      <w:r>
        <w:br/>
      </w:r>
      <w:r>
        <w:rPr>
          <w:rFonts w:ascii="Calibri" w:hAnsi="Calibri"/>
          <w:b/>
          <w:color w:val="1F4788"/>
          <w:sz w:val="34"/>
        </w:rPr>
        <w:t>000017-04</w:t>
      </w:r>
    </w:p>
    <w:p/>
    <w:p/>
    <w:p>
      <w:pPr>
        <w:spacing w:after="40"/>
        <w:jc w:val="center"/>
      </w:pPr>
      <w:r>
        <w:rPr>
          <w:rFonts w:ascii="Calibri" w:hAnsi="Calibri"/>
          <w:b/>
          <w:color w:val="1F4788"/>
          <w:sz w:val="80"/>
        </w:rPr>
        <w:t>WES</w:t>
      </w:r>
    </w:p>
    <w:p>
      <w:pPr>
        <w:jc w:val="center"/>
      </w:pPr>
      <w:r>
        <w:rPr>
          <w:rFonts w:ascii="Calibri" w:hAnsi="Calibri"/>
          <w:b/>
          <w:color w:val="64788C"/>
          <w:sz w:val="20"/>
        </w:rPr>
        <w:t>USO EFICIENTE DE AGUA</w:t>
      </w:r>
    </w:p>
    <w:p/>
    <w:p/>
    <w:p/>
    <w:p/>
    <w:p/>
    <w:p/>
    <w:p/>
    <w:p/>
    <w:p/>
    <w:p/>
    <w:p>
      <w:pPr>
        <w:jc w:val="right"/>
      </w:pPr>
      <w:r>
        <w:rPr>
          <w:rFonts w:ascii="Calibri" w:hAnsi="Calibri"/>
          <w:b/>
          <w:color w:val="000000"/>
          <w:sz w:val="22"/>
        </w:rPr>
        <w:t>Aníbal Aranda Alvarado</w:t>
      </w:r>
    </w:p>
    <w:p>
      <w:pPr>
        <w:jc w:val="right"/>
      </w:pPr>
      <w:r>
        <w:rPr>
          <w:rFonts w:ascii="Calibri" w:hAnsi="Calibri"/>
          <w:b w:val="0"/>
          <w:color w:val="000000"/>
          <w:sz w:val="22"/>
        </w:rPr>
        <w:t>Jefe de mantenimiento y operación</w:t>
      </w:r>
    </w:p>
    <w:p>
      <w:pPr>
        <w:jc w:val="right"/>
      </w:pPr>
      <w:r>
        <w:rPr>
          <w:rFonts w:ascii="Calibri" w:hAnsi="Calibri"/>
          <w:b w:val="0"/>
          <w:color w:val="000000"/>
          <w:sz w:val="22"/>
        </w:rPr>
        <w:t>9-75595835</w:t>
      </w:r>
    </w:p>
    <w:p>
      <w:r>
        <w:br w:type="page"/>
      </w:r>
    </w:p>
    <w:p>
      <w:pPr>
        <w:pStyle w:val="Ttulo1"/>
        <w:keepNext/>
        <w:widowControl/>
        <w:spacing w:after="200"/>
      </w:pPr>
      <w:r>
        <w:rPr>
          <w:rFonts w:ascii="Calibri" w:hAnsi="Calibri"/>
          <w:b/>
          <w:color w:val="1F4788"/>
          <w:sz w:val="28"/>
        </w:rPr>
        <w:t>Índice</w:t>
      </w:r>
    </w:p>
    <w:p>
      <w:pPr>
        <w:widowControl/>
      </w:pPr>
      <w:r>
        <w:t>Metodología        .......................................... 2</w:t>
      </w:r>
    </w:p>
    <w:p>
      <w:pPr>
        <w:widowControl/>
      </w:pPr>
      <w:r>
        <w:t>Registros de consumos    .................................. 3</w:t>
      </w:r>
    </w:p>
    <w:p>
      <w:pPr>
        <w:keepNext/>
        <w:widowControl/>
      </w:pPr>
      <w:r>
        <w:t>Resultados y Conclusiones    ............................ 4</w:t>
      </w:r>
    </w:p>
    <w:p/>
    <w:p>
      <w:pPr>
        <w:pStyle w:val="Ttulo1"/>
        <w:keepNext/>
        <w:widowControl/>
        <w:spacing w:after="160"/>
      </w:pPr>
      <w:r>
        <w:rPr>
          <w:rFonts w:ascii="Calibri" w:hAnsi="Calibri"/>
          <w:b/>
          <w:color w:val="1F4788"/>
          <w:sz w:val="28"/>
        </w:rPr>
        <w:t>Metodología</w:t>
      </w:r>
    </w:p>
    <w:p>
      <w:pPr>
        <w:keepNext w:val="0"/>
        <w:widowControl/>
        <w:jc w:val="both"/>
      </w:pPr>
      <w:r>
        <w:t>Se generaron dos auditorías hídricas que permiten comprobar de forma empírica el efecto de ahorro asociado al servicio WES «Control Inteligente de Agua Potable» en las redes del establecimiento con tecnología de control. En cuanto a contexto y alcance, se definieron dos periodos de 5 días cada uno: con control hidráulico activo entre el 10 y el 14 de agosto de 2026 y con control desactivado entre el 17 y el 21 de agosto de 2026, de modo que ambas series son comparables y permiten dimensionar la diferencia de consumo atribuible al servicio WES.</w:t>
      </w:r>
    </w:p>
    <w:p>
      <w:pPr>
        <w:keepNext w:val="0"/>
        <w:widowControl/>
        <w:jc w:val="both"/>
      </w:pPr>
      <w:r>
        <w:t>En la elaboración de los indicadores se consideran, para cada nodo, solo registros con fecha válida; el promedio diario de un periodo es la suma de los consumos diarios dividida por la cantidad de días del periodo. El ahorro estimado en volumen (m³/día) se expresa como max(0, promedio_desactivado − promedio_activo) y el ahorro porcentual como (ahorro_m3_dia / promedio_desactivado) × 100. La visualización gráfica —en especial la curva diaria— contrasta ambos periodos y facilita evidenciar el impacto del control WES.</w:t>
      </w:r>
    </w:p>
    <w:p>
      <w:pPr>
        <w:keepNext w:val="0"/>
        <w:widowControl/>
        <w:jc w:val="both"/>
      </w:pPr>
      <w:r>
        <w:t>Para Esc. Lo Velásquez, punto de medición WES 000017-04 (Esc. Lo Velásquez), las series se construyen además en rejilla horaria a partir de datos de la plataforma en zona horaria Chile, para el periodo con control (10-08-2026 al 14-08-2026) y el periodo sin control (17-08-2026 al 21-08-2026), en jornada completa 00:00 a 24:00 (una lectura por hora; fin de intervalo exclusivo). Si una hora no tiene dato, se asume 0 m³/h para mantener una grilla comparable (120 intervalos: 5 días × 24 horas). Como resultados esperados de este ejercicio se busca disponer de una línea de base actualizada para la estimación de eficiencia y proyectar el ahorro de agua (m³) y una estimación económica orientativa en dinero (CLP $).</w:t>
      </w:r>
    </w:p>
    <w:p>
      <w:r>
        <w:br w:type="page"/>
      </w:r>
    </w:p>
    <w:p>
      <w:pPr>
        <w:pStyle w:val="Ttulo1"/>
        <w:keepNext/>
        <w:widowControl/>
        <w:spacing w:after="200"/>
      </w:pPr>
      <w:r>
        <w:rPr>
          <w:rFonts w:ascii="Calibri" w:hAnsi="Calibri"/>
          <w:b/>
          <w:color w:val="1F4788"/>
          <w:sz w:val="28"/>
        </w:rPr>
        <w:t>Registros de consumos</w:t>
      </w:r>
    </w:p>
    <w:p>
      <w:pPr>
        <w:keepNext/>
        <w:widowControl/>
        <w:jc w:val="both"/>
      </w:pPr>
      <w:r>
        <w:t>Comparación del total acumulado en la rejilla horaria Σ (m³/h) entre Con WES y Sin WES (misma base que el Excel consolidado por CSV):</w:t>
      </w:r>
    </w:p>
    <w:p>
      <w:pPr>
        <w:keepNext/>
        <w:widowControl/>
        <w:spacing w:after="60"/>
        <w:jc w:val="center"/>
      </w:pPr>
      <w:r>
        <w:drawing>
          <wp:inline xmlns:a="http://schemas.openxmlformats.org/drawingml/2006/main" xmlns:pic="http://schemas.openxmlformats.org/drawingml/2006/picture">
            <wp:extent cx="4754880" cy="3375321"/>
            <wp:docPr id="1" name="Picture 1"/>
            <wp:cNvGraphicFramePr>
              <a:graphicFrameLocks noChangeAspect="1"/>
            </wp:cNvGraphicFramePr>
            <a:graphic>
              <a:graphicData uri="http://schemas.openxmlformats.org/drawingml/2006/picture">
                <pic:pic>
                  <pic:nvPicPr>
                    <pic:cNvPr id="0" name="02_barras_total_rejilla_por_periodo.png"/>
                    <pic:cNvPicPr/>
                  </pic:nvPicPr>
                  <pic:blipFill>
                    <a:blip r:embed="rId27"/>
                    <a:stretch>
                      <a:fillRect/>
                    </a:stretch>
                  </pic:blipFill>
                  <pic:spPr>
                    <a:xfrm>
                      <a:off x="0" y="0"/>
                      <a:ext cx="4754880" cy="3375321"/>
                    </a:xfrm>
                    <a:prstGeom prst="rect"/>
                  </pic:spPr>
                </pic:pic>
              </a:graphicData>
            </a:graphic>
          </wp:inline>
        </w:drawing>
      </w:r>
    </w:p>
    <w:p>
      <w:pPr>
        <w:spacing w:before="280" w:after="120"/>
      </w:pPr>
    </w:p>
    <w:p>
      <w:pPr>
        <w:keepNext/>
        <w:widowControl/>
        <w:jc w:val="both"/>
      </w:pPr>
      <w:r>
        <w:t>Jornada de medición (cada día): 00:00 a 24:00 (Chile). Σ rejilla = suma de todos los intervalos horarios (m³/h) del periodo; promedio diario = Σ rejilla ÷ número de días del periodo.</w:t>
      </w:r>
    </w:p>
    <w:tbl>
      <w:tblPr>
        <w:tblW w:type="auto" w:w="0"/>
        <w:tblLook w:firstColumn="1" w:firstRow="1" w:lastColumn="0" w:lastRow="0" w:noHBand="0" w:noVBand="1" w:val="04A0"/>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2362"/>
        <w:gridCol w:w="2362"/>
        <w:gridCol w:w="2362"/>
        <w:gridCol w:w="2362"/>
      </w:tblGrid>
      <w:tr>
        <w:tc>
          <w:tcPr>
            <w:tcW w:type="dxa" w:w="2362"/>
            <w:shd w:val="clear" w:fill="D9E1F2"/>
          </w:tcPr>
          <w:p>
            <w:pPr>
              <w:jc w:val="center"/>
            </w:pPr>
            <w:r>
              <w:rPr>
                <w:b/>
                <w:color w:val="1F4788"/>
              </w:rPr>
              <w:t>Condición</w:t>
            </w:r>
          </w:p>
        </w:tc>
        <w:tc>
          <w:tcPr>
            <w:tcW w:type="dxa" w:w="2362"/>
            <w:shd w:val="clear" w:fill="D9E1F2"/>
          </w:tcPr>
          <w:p>
            <w:pPr>
              <w:jc w:val="center"/>
            </w:pPr>
            <w:r>
              <w:rPr>
                <w:b/>
                <w:color w:val="1F4788"/>
              </w:rPr>
              <w:t>Periodo</w:t>
            </w:r>
          </w:p>
        </w:tc>
        <w:tc>
          <w:tcPr>
            <w:tcW w:type="dxa" w:w="2362"/>
            <w:shd w:val="clear" w:fill="D9E1F2"/>
          </w:tcPr>
          <w:p>
            <w:pPr>
              <w:jc w:val="center"/>
            </w:pPr>
            <w:r>
              <w:rPr>
                <w:b/>
                <w:color w:val="1F4788"/>
              </w:rPr>
              <w:t>Σ rejilla (m³/h)</w:t>
            </w:r>
          </w:p>
        </w:tc>
        <w:tc>
          <w:tcPr>
            <w:tcW w:type="dxa" w:w="2362"/>
            <w:shd w:val="clear" w:fill="D9E1F2"/>
          </w:tcPr>
          <w:p>
            <w:pPr>
              <w:jc w:val="center"/>
            </w:pPr>
            <w:r>
              <w:rPr>
                <w:b/>
                <w:color w:val="1F4788"/>
              </w:rPr>
              <w:t>Promedio diario (m³/h)</w:t>
            </w:r>
          </w:p>
        </w:tc>
      </w:tr>
      <w:tr>
        <w:tc>
          <w:tcPr>
            <w:tcW w:type="dxa" w:w="2362"/>
            <w:shd w:val="clear" w:fill="FFFFFF"/>
          </w:tcPr>
          <w:p>
            <w:pPr>
              <w:jc w:val="left"/>
            </w:pPr>
            <w:r>
              <w:rPr>
                <w:b/>
                <w:color w:val="000000"/>
              </w:rPr>
              <w:t>Con WES</w:t>
            </w:r>
          </w:p>
        </w:tc>
        <w:tc>
          <w:tcPr>
            <w:tcW w:type="dxa" w:w="2362"/>
            <w:shd w:val="clear" w:fill="FFFFFF"/>
          </w:tcPr>
          <w:p>
            <w:pPr>
              <w:jc w:val="left"/>
            </w:pPr>
            <w:r>
              <w:rPr>
                <w:b w:val="0"/>
                <w:color w:val="000000"/>
              </w:rPr>
              <w:t>10 al 14 agosto 2026</w:t>
            </w:r>
          </w:p>
        </w:tc>
        <w:tc>
          <w:tcPr>
            <w:tcW w:type="dxa" w:w="2362"/>
            <w:shd w:val="clear" w:fill="FFFFFF"/>
          </w:tcPr>
          <w:p>
            <w:pPr>
              <w:jc w:val="left"/>
            </w:pPr>
            <w:r>
              <w:rPr>
                <w:b w:val="0"/>
                <w:color w:val="000000"/>
              </w:rPr>
              <w:t>34,49</w:t>
            </w:r>
          </w:p>
        </w:tc>
        <w:tc>
          <w:tcPr>
            <w:tcW w:type="dxa" w:w="2362"/>
            <w:shd w:val="clear" w:fill="FFFFFF"/>
          </w:tcPr>
          <w:p>
            <w:pPr>
              <w:jc w:val="left"/>
            </w:pPr>
            <w:r>
              <w:rPr>
                <w:b w:val="0"/>
                <w:color w:val="000000"/>
              </w:rPr>
              <w:t>6,898</w:t>
            </w:r>
          </w:p>
        </w:tc>
      </w:tr>
      <w:tr>
        <w:tc>
          <w:tcPr>
            <w:tcW w:type="dxa" w:w="2362"/>
            <w:shd w:val="clear" w:fill="FFFFFF"/>
          </w:tcPr>
          <w:p>
            <w:pPr>
              <w:jc w:val="left"/>
            </w:pPr>
            <w:r>
              <w:rPr>
                <w:b/>
                <w:color w:val="000000"/>
              </w:rPr>
              <w:t>Sin WES</w:t>
            </w:r>
          </w:p>
        </w:tc>
        <w:tc>
          <w:tcPr>
            <w:tcW w:type="dxa" w:w="2362"/>
            <w:shd w:val="clear" w:fill="FFFFFF"/>
          </w:tcPr>
          <w:p>
            <w:pPr>
              <w:jc w:val="left"/>
            </w:pPr>
            <w:r>
              <w:rPr>
                <w:b w:val="0"/>
                <w:color w:val="000000"/>
              </w:rPr>
              <w:t>17 al 21 agosto 2026</w:t>
            </w:r>
          </w:p>
        </w:tc>
        <w:tc>
          <w:tcPr>
            <w:tcW w:type="dxa" w:w="2362"/>
            <w:shd w:val="clear" w:fill="FFFFFF"/>
          </w:tcPr>
          <w:p>
            <w:pPr>
              <w:jc w:val="left"/>
            </w:pPr>
            <w:r>
              <w:rPr>
                <w:b w:val="0"/>
                <w:color w:val="000000"/>
              </w:rPr>
              <w:t>22,88</w:t>
            </w:r>
          </w:p>
        </w:tc>
        <w:tc>
          <w:tcPr>
            <w:tcW w:type="dxa" w:w="2362"/>
            <w:shd w:val="clear" w:fill="FFFFFF"/>
          </w:tcPr>
          <w:p>
            <w:pPr>
              <w:jc w:val="left"/>
            </w:pPr>
            <w:r>
              <w:rPr>
                <w:b w:val="0"/>
                <w:color w:val="000000"/>
              </w:rPr>
              <w:t>4,576</w:t>
            </w:r>
          </w:p>
        </w:tc>
      </w:tr>
    </w:tbl>
    <w:p>
      <w:pPr>
        <w:spacing w:after="120"/>
      </w:pPr>
    </w:p>
    <w:p>
      <w:pPr>
        <w:keepNext w:val="0"/>
        <w:widowControl/>
        <w:jc w:val="both"/>
      </w:pPr>
      <w:r>
        <w:t>Métricas y serie horaria (jornada completa) exportadas: cpa_icco_renca_borrador_000017-04.csv.</w:t>
      </w:r>
    </w:p>
    <w:p>
      <w:r>
        <w:br w:type="page"/>
      </w:r>
    </w:p>
    <w:p>
      <w:pPr>
        <w:pStyle w:val="Ttulo1"/>
        <w:keepNext/>
        <w:widowControl/>
        <w:spacing w:after="160"/>
      </w:pPr>
      <w:r>
        <w:rPr>
          <w:rFonts w:ascii="Calibri" w:hAnsi="Calibri"/>
          <w:b/>
          <w:color w:val="1F4788"/>
          <w:sz w:val="28"/>
        </w:rPr>
        <w:t>Resultados y Conclusiones</w:t>
      </w:r>
    </w:p>
    <w:tbl>
      <w:tblPr>
        <w:tblW w:type="auto" w:w="0"/>
        <w:tblLook w:firstColumn="1" w:firstRow="1" w:lastColumn="0" w:lastRow="0" w:noHBand="0" w:noVBand="1" w:val="04A0"/>
        <w:jc w:val="center"/>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7488"/>
        <w:gridCol w:w="2880"/>
      </w:tblGrid>
      <w:tr>
        <w:tc>
          <w:tcPr>
            <w:tcW w:type="dxa" w:w="4725"/>
            <w:shd w:val="clear" w:fill="D9E1F2"/>
          </w:tcPr>
          <w:p>
            <w:pPr>
              <w:jc w:val="center"/>
            </w:pPr>
            <w:r>
              <w:rPr>
                <w:b/>
                <w:color w:val="1F4788"/>
              </w:rPr>
              <w:t>Indicador</w:t>
            </w:r>
          </w:p>
        </w:tc>
        <w:tc>
          <w:tcPr>
            <w:tcW w:type="dxa" w:w="4725"/>
            <w:shd w:val="clear" w:fill="D9E1F2"/>
          </w:tcPr>
          <w:p>
            <w:pPr>
              <w:jc w:val="center"/>
            </w:pPr>
            <w:r>
              <w:rPr>
                <w:b/>
                <w:color w:val="1F4788"/>
              </w:rPr>
              <w:t>Valor</w:t>
            </w:r>
          </w:p>
        </w:tc>
      </w:tr>
      <w:tr>
        <w:tc>
          <w:tcPr>
            <w:tcW w:type="dxa" w:w="4725"/>
          </w:tcPr>
          <w:p>
            <w:pPr>
              <w:jc w:val="left"/>
            </w:pPr>
            <w:r>
              <w:rPr>
                <w:b/>
                <w:color w:val="000000"/>
              </w:rPr>
              <w:t>Promedio diario con control activo (10 al 14 agosto 2026)</w:t>
            </w:r>
          </w:p>
        </w:tc>
        <w:tc>
          <w:tcPr>
            <w:tcW w:type="dxa" w:w="4725"/>
          </w:tcPr>
          <w:p>
            <w:pPr>
              <w:jc w:val="left"/>
            </w:pPr>
            <w:r>
              <w:rPr>
                <w:b w:val="0"/>
                <w:color w:val="000000"/>
              </w:rPr>
              <w:t>6.90 m3/dia</w:t>
            </w:r>
          </w:p>
        </w:tc>
      </w:tr>
      <w:tr>
        <w:tc>
          <w:tcPr>
            <w:tcW w:type="dxa" w:w="4725"/>
          </w:tcPr>
          <w:p>
            <w:pPr>
              <w:jc w:val="left"/>
            </w:pPr>
            <w:r>
              <w:rPr>
                <w:b/>
                <w:color w:val="000000"/>
              </w:rPr>
              <w:t>Promedio diario con control desactivado (17 al 21 agosto 2026)</w:t>
            </w:r>
          </w:p>
        </w:tc>
        <w:tc>
          <w:tcPr>
            <w:tcW w:type="dxa" w:w="4725"/>
          </w:tcPr>
          <w:p>
            <w:pPr>
              <w:jc w:val="left"/>
            </w:pPr>
            <w:r>
              <w:rPr>
                <w:b w:val="0"/>
                <w:color w:val="000000"/>
              </w:rPr>
              <w:t>4.58 m3/dia</w:t>
            </w:r>
          </w:p>
        </w:tc>
      </w:tr>
      <w:tr>
        <w:tc>
          <w:tcPr>
            <w:tcW w:type="dxa" w:w="4725"/>
          </w:tcPr>
          <w:p>
            <w:pPr>
              <w:jc w:val="left"/>
            </w:pPr>
            <w:r>
              <w:rPr>
                <w:b/>
                <w:color w:val="000000"/>
              </w:rPr>
              <w:t>Ahorro promedio diario estimado por control WES</w:t>
            </w:r>
          </w:p>
        </w:tc>
        <w:tc>
          <w:tcPr>
            <w:tcW w:type="dxa" w:w="4725"/>
          </w:tcPr>
          <w:p>
            <w:pPr>
              <w:jc w:val="left"/>
            </w:pPr>
            <w:r>
              <w:rPr>
                <w:b w:val="0"/>
                <w:color w:val="000000"/>
              </w:rPr>
              <w:t>0.00 m3/dia</w:t>
            </w:r>
          </w:p>
        </w:tc>
      </w:tr>
      <w:tr>
        <w:tc>
          <w:tcPr>
            <w:tcW w:type="dxa" w:w="4725"/>
          </w:tcPr>
          <w:p>
            <w:pPr>
              <w:jc w:val="left"/>
            </w:pPr>
            <w:r>
              <w:rPr>
                <w:b/>
                <w:color w:val="000000"/>
              </w:rPr>
              <w:t>Ahorro porcentual</w:t>
            </w:r>
          </w:p>
        </w:tc>
        <w:tc>
          <w:tcPr>
            <w:tcW w:type="dxa" w:w="4725"/>
          </w:tcPr>
          <w:p>
            <w:pPr>
              <w:jc w:val="left"/>
            </w:pPr>
            <w:r>
              <w:rPr>
                <w:b w:val="0"/>
                <w:color w:val="000000"/>
              </w:rPr>
              <w:t>0.00%</w:t>
            </w:r>
          </w:p>
        </w:tc>
      </w:tr>
      <w:tr>
        <w:tc>
          <w:tcPr>
            <w:tcW w:type="dxa" w:w="4725"/>
          </w:tcPr>
          <w:p>
            <w:pPr>
              <w:jc w:val="left"/>
            </w:pPr>
            <w:r>
              <w:rPr>
                <w:b/>
                <w:color w:val="000000"/>
              </w:rPr>
              <w:t>Diferencia neta (desactivado - activo)</w:t>
            </w:r>
          </w:p>
        </w:tc>
        <w:tc>
          <w:tcPr>
            <w:tcW w:type="dxa" w:w="4725"/>
          </w:tcPr>
          <w:p>
            <w:pPr>
              <w:jc w:val="left"/>
            </w:pPr>
            <w:r>
              <w:rPr>
                <w:b w:val="0"/>
                <w:color w:val="000000"/>
              </w:rPr>
              <w:t>0.00 m3/dia</w:t>
            </w:r>
          </w:p>
        </w:tc>
      </w:tr>
    </w:tbl>
    <w:p>
      <w:pPr>
        <w:spacing w:after="160"/>
      </w:pPr>
    </w:p>
    <w:p>
      <w:pPr>
        <w:keepNext w:val="0"/>
        <w:widowControl/>
        <w:jc w:val="both"/>
      </w:pPr>
      <w:r>
        <w:t>En la rejilla (5 días, 00:00–24:00), Con WES 34,49 m³ y Sin WES 22,88 m³ (mayor Σ en Con WES en 11,61 m³). Detalle en Registros de consumos.</w:t>
      </w:r>
    </w:p>
    <w:p/>
    <w:p>
      <w:pPr>
        <w:jc w:val="center"/>
      </w:pPr>
      <w:r>
        <w:t>Ahorro sobre Sin WES: no aplica en este tramo.</w:t>
      </w:r>
    </w:p>
    <w:p/>
    <w:p>
      <w:pPr>
        <w:jc w:val="center"/>
      </w:pPr>
      <w:r>
        <w:rPr>
          <w:color w:val="646464"/>
          <w:sz w:val="18"/>
        </w:rPr>
        <w:t>Documento generado automáticamente — 21-08-2026 15:41 UTC</w:t>
      </w:r>
    </w:p>
    <w:sectPr w:rsidR="00464134">
      <w:headerReference w:type="default" r:id="rId20"/>
      <w:footerReference w:type="even" r:id="rId21"/>
      <w:footerReference w:type="default" r:id="rId22"/>
      <w:headerReference w:type="first" r:id="rId23"/>
      <w:footerReference w:type="first" r:id="rId24"/>
      <w:pgSz w:w="11910" w:h="16840"/>
      <w:pgMar w:top="1080" w:right="1290" w:bottom="1000" w:left="1170" w:header="0" w:footer="81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60AE0" w14:textId="77777777" w:rsidR="009A495D" w:rsidRDefault="009A495D">
      <w:pPr>
        <w:spacing w:after="0" w:line="240" w:lineRule="auto"/>
      </w:pPr>
      <w:r>
        <w:separator/>
      </w:r>
    </w:p>
  </w:endnote>
  <w:endnote w:type="continuationSeparator" w:id="0">
    <w:p w14:paraId="4E260AE2" w14:textId="77777777" w:rsidR="009A495D" w:rsidRDefault="009A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4DF6AB-3BAB-41C3-A88C-0CFB8F4A42AE}"/>
    <w:embedBold r:id="rId2" w:fontKey="{3D186F8D-CC34-43C9-8EBA-3D187B1E22CC}"/>
  </w:font>
  <w:font w:name="Nunito">
    <w:charset w:val="00"/>
    <w:family w:val="auto"/>
    <w:pitch w:val="variable"/>
    <w:sig w:usb0="A00002FF" w:usb1="5000204B" w:usb2="00000000" w:usb3="00000000" w:csb0="00000197" w:csb1="00000000"/>
    <w:embedRegular r:id="rId3" w:fontKey="{DE9AD32F-774D-4606-89FD-2DD47ABA0E5E}"/>
    <w:embedBold r:id="rId4" w:fontKey="{147F0C8E-75B2-41BA-9063-19940B8A9614}"/>
    <w:embedItalic r:id="rId5" w:fontKey="{1DF3ECEB-731F-4892-8F47-D52103E87A7A}"/>
  </w:font>
  <w:font w:name="Montserrat">
    <w:charset w:val="00"/>
    <w:family w:val="auto"/>
    <w:pitch w:val="variable"/>
    <w:sig w:usb0="2000020F" w:usb1="00000003" w:usb2="00000000" w:usb3="00000000" w:csb0="00000197" w:csb1="00000000"/>
    <w:embedRegular r:id="rId6" w:fontKey="{5B64292B-E137-43C8-8E9B-3022DC0F84CC}"/>
    <w:embedBold r:id="rId7" w:fontKey="{34B2A3C8-1D33-46E1-9378-FEC1869B566E}"/>
  </w:font>
  <w:font w:name="Verdana">
    <w:panose1 w:val="020B0604030504040204"/>
    <w:charset w:val="00"/>
    <w:family w:val="swiss"/>
    <w:pitch w:val="variable"/>
    <w:sig w:usb0="A00006FF" w:usb1="4000205B" w:usb2="00000010" w:usb3="00000000" w:csb0="0000019F" w:csb1="00000000"/>
    <w:embedRegular r:id="rId8" w:fontKey="{AEA5B984-5246-431A-9532-7792E23F9539}"/>
    <w:embedBold r:id="rId9" w:fontKey="{4B4DF9FA-27E2-4695-AD41-CB9F5B58095C}"/>
  </w:font>
  <w:font w:name="Cambria">
    <w:panose1 w:val="02040503050406030204"/>
    <w:charset w:val="00"/>
    <w:family w:val="roman"/>
    <w:pitch w:val="variable"/>
    <w:sig w:usb0="E00006FF" w:usb1="420024FF" w:usb2="02000000" w:usb3="00000000" w:csb0="0000019F" w:csb1="00000000"/>
    <w:embedRegular r:id="rId10" w:fontKey="{B03B8333-4C09-4093-94AF-663BB4543F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6" w14:textId="77777777" w:rsidR="00464134" w:rsidRDefault="009A495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E260AD7"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8" w14:textId="39DCFE05" w:rsidR="00464134" w:rsidRDefault="009A495D">
    <w:pPr>
      <w:pBdr>
        <w:top w:val="nil"/>
        <w:left w:val="nil"/>
        <w:bottom w:val="nil"/>
        <w:right w:val="nil"/>
        <w:between w:val="nil"/>
      </w:pBdr>
      <w:tabs>
        <w:tab w:val="center" w:pos="4680"/>
        <w:tab w:val="right" w:pos="9360"/>
      </w:tabs>
      <w:spacing w:after="0" w:line="240" w:lineRule="auto"/>
      <w:jc w:val="right"/>
      <w:rPr>
        <w:rFonts w:ascii="Nunito" w:eastAsia="Nunito" w:hAnsi="Nunito" w:cs="Nunito"/>
        <w:color w:val="000000"/>
      </w:rPr>
    </w:pPr>
    <w:r>
      <w:rPr>
        <w:rFonts w:ascii="Nunito" w:eastAsia="Nunito" w:hAnsi="Nunito" w:cs="Nunito"/>
        <w:color w:val="000000"/>
      </w:rPr>
      <w:fldChar w:fldCharType="begin"/>
    </w:r>
    <w:r>
      <w:rPr>
        <w:rFonts w:ascii="Nunito" w:eastAsia="Nunito" w:hAnsi="Nunito" w:cs="Nunito"/>
        <w:color w:val="000000"/>
      </w:rPr>
      <w:instrText>PAGE</w:instrText>
    </w:r>
    <w:r>
      <w:rPr>
        <w:rFonts w:ascii="Nunito" w:eastAsia="Nunito" w:hAnsi="Nunito" w:cs="Nunito"/>
        <w:color w:val="000000"/>
      </w:rPr>
      <w:fldChar w:fldCharType="separate"/>
    </w:r>
    <w:r>
      <w:rPr>
        <w:rFonts w:ascii="Nunito" w:eastAsia="Nunito" w:hAnsi="Nunito" w:cs="Nunito"/>
        <w:noProof/>
        <w:color w:val="000000"/>
      </w:rPr>
      <w:t>1</w:t>
    </w:r>
    <w:r>
      <w:rPr>
        <w:rFonts w:ascii="Nunito" w:eastAsia="Nunito" w:hAnsi="Nunito" w:cs="Nunito"/>
        <w:color w:val="000000"/>
      </w:rPr>
      <w:fldChar w:fldCharType="end"/>
    </w:r>
  </w:p>
  <w:p w14:paraId="4E260AD9"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B" w14:textId="77777777" w:rsidR="00464134" w:rsidRDefault="004641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60ADC" w14:textId="77777777" w:rsidR="009A495D" w:rsidRDefault="009A495D">
      <w:pPr>
        <w:spacing w:after="0" w:line="240" w:lineRule="auto"/>
      </w:pPr>
      <w:r>
        <w:separator/>
      </w:r>
    </w:p>
  </w:footnote>
  <w:footnote w:type="continuationSeparator" w:id="0">
    <w:p w14:paraId="4E260ADE" w14:textId="77777777" w:rsidR="009A495D" w:rsidRDefault="009A4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5" w14:textId="77777777" w:rsidR="00464134" w:rsidRDefault="00464134">
    <w:pPr>
      <w:tabs>
        <w:tab w:val="left" w:pos="5430"/>
      </w:tabs>
      <w:rPr>
        <w:color w:val="FF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A" w14:textId="77777777" w:rsidR="00464134" w:rsidRDefault="004641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22377"/>
    <w:multiLevelType w:val="multilevel"/>
    <w:tmpl w:val="A0C8BE2C"/>
    <w:lvl w:ilvl="0">
      <w:start w:val="1"/>
      <w:numFmt w:val="bullet"/>
      <w:lvlText w:val="●"/>
      <w:lvlJc w:val="left"/>
      <w:pPr>
        <w:ind w:left="720" w:hanging="360"/>
      </w:pPr>
      <w:rPr>
        <w:rFonts w:ascii="Arial" w:eastAsia="Arial" w:hAnsi="Arial" w:cs="Arial"/>
        <w:color w:val="498CBE"/>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3B7EB1"/>
    <w:multiLevelType w:val="multilevel"/>
    <w:tmpl w:val="1B20E0A4"/>
    <w:lvl w:ilvl="0">
      <w:start w:val="1"/>
      <w:numFmt w:val="bullet"/>
      <w:lvlText w:val="●"/>
      <w:lvlJc w:val="left"/>
      <w:pPr>
        <w:ind w:left="720" w:hanging="360"/>
      </w:pPr>
      <w:rPr>
        <w:color w:val="0070C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8086645">
    <w:abstractNumId w:val="0"/>
  </w:num>
  <w:num w:numId="2" w16cid:durableId="1765416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134"/>
    <w:rsid w:val="00464134"/>
    <w:rsid w:val="004B4CAE"/>
    <w:rsid w:val="009A49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09CF"/>
  <w15:docId w15:val="{999DF23B-FE79-4EA2-BA14-DC047879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ES" w:eastAsia="es-CL"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after="0"/>
      <w:jc w:val="both"/>
      <w:outlineLvl w:val="0"/>
    </w:pPr>
    <w:rPr>
      <w:rFonts w:ascii="Nunito" w:eastAsia="Nunito" w:hAnsi="Nunito" w:cs="Nunito"/>
      <w:b/>
      <w:sz w:val="22"/>
      <w:szCs w:val="22"/>
      <w:u w:val="single"/>
    </w:rPr>
  </w:style>
  <w:style w:type="paragraph" w:styleId="Ttulo2">
    <w:name w:val="heading 2"/>
    <w:basedOn w:val="Normal"/>
    <w:next w:val="Normal"/>
    <w:uiPriority w:val="9"/>
    <w:semiHidden/>
    <w:unhideWhenUsed/>
    <w:qFormat/>
    <w:pPr>
      <w:widowControl w:val="0"/>
      <w:tabs>
        <w:tab w:val="left" w:pos="5393"/>
      </w:tabs>
      <w:spacing w:after="0"/>
      <w:outlineLvl w:val="1"/>
    </w:pPr>
    <w:rPr>
      <w:rFonts w:ascii="Montserrat" w:eastAsia="Montserrat" w:hAnsi="Montserrat" w:cs="Montserrat"/>
      <w:color w:val="0070C0"/>
      <w:sz w:val="28"/>
      <w:szCs w:val="28"/>
      <w:u w:val="single"/>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tabs>
        <w:tab w:val="left" w:pos="5393"/>
      </w:tabs>
      <w:spacing w:after="0"/>
    </w:pPr>
    <w:rPr>
      <w:rFonts w:ascii="Nunito" w:eastAsia="Nunito" w:hAnsi="Nunito" w:cs="Nunito"/>
      <w:color w:val="0070C0"/>
      <w:sz w:val="28"/>
      <w:szCs w:val="28"/>
    </w:rPr>
  </w:style>
  <w:style w:type="paragraph" w:styleId="Subttulo">
    <w:name w:val="Subtitle"/>
    <w:basedOn w:val="Normal"/>
    <w:next w:val="Normal"/>
    <w:uiPriority w:val="11"/>
    <w:qFormat/>
    <w:pPr>
      <w:keepNext/>
      <w:keepLines/>
      <w:tabs>
        <w:tab w:val="left" w:pos="5393"/>
      </w:tabs>
      <w:spacing w:after="0"/>
      <w:jc w:val="both"/>
    </w:pPr>
    <w:rPr>
      <w:rFonts w:ascii="Nunito" w:eastAsia="Nunito" w:hAnsi="Nunito" w:cs="Nunito"/>
      <w:i/>
      <w:sz w:val="22"/>
      <w:szCs w:val="22"/>
      <w:u w:val="single"/>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y02b3cl0baJz2d8DAJA2OaqrsQ==">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336</Words>
  <Characters>1849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Anibal Aranda Alvarado</cp:lastModifiedBy>
  <cp:revision>2</cp:revision>
  <dcterms:created xsi:type="dcterms:W3CDTF">2026-04-10T19:53:00Z</dcterms:created>
  <dcterms:modified xsi:type="dcterms:W3CDTF">2026-04-10T19:53:00Z</dcterms:modified>
</cp:coreProperties>
</file>