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Informe de Auditoría — Renca</w:t>
      </w:r>
    </w:p>
    <w:p>
      <w:pPr>
        <w:jc w:val="center"/>
      </w:pPr>
      <w:r>
        <w:rPr>
          <w:b/>
          <w:color w:val="1F4788"/>
        </w:rPr>
        <w:t>Semana pasada con WES (10/08 al 14/08/2026)  vs  esta semana sin WES (17/08 al 21/08/2026)</w:t>
      </w:r>
    </w:p>
    <w:p>
      <w:r>
        <w:rPr>
          <w:b/>
        </w:rPr>
        <w:t xml:space="preserve">Ventana homóloga: </w:t>
      </w:r>
      <w:r>
        <w:t>Lunes a Viernes (00:00–10:59 Chile el último día; corte 21/08/2026 11:41 Chile). Cada día de esta semana sin control se compara con el mismo día de la semana pasada con WES (lun 17 vs lun 10, mar 18 vs mar 11, mié 19 vs mié 12, jue 20 vs jue 13, vie 21 vs vie 14). Ahorro = (Sin WES − Con WES) / Sin WES × 100. Tarifa de referencia 1.300 CLP/m³. Sin WES desde el lunes 17/08/2026.</w:t>
      </w:r>
    </w:p>
    <w:p>
      <w:pPr>
        <w:pStyle w:val="Heading1"/>
      </w:pPr>
      <w:r>
        <w:t>1. Los 4 puntos</w:t>
      </w:r>
    </w:p>
    <w:p>
      <w:r>
        <w:drawing>
          <wp:inline xmlns:a="http://schemas.openxmlformats.org/drawingml/2006/main" xmlns:pic="http://schemas.openxmlformats.org/drawingml/2006/picture">
            <wp:extent cx="5832000" cy="2838493"/>
            <wp:docPr id="1" name="Picture 1"/>
            <wp:cNvGraphicFramePr>
              <a:graphicFrameLocks noChangeAspect="1"/>
            </wp:cNvGraphicFramePr>
            <a:graphic>
              <a:graphicData uri="http://schemas.openxmlformats.org/drawingml/2006/picture">
                <pic:pic>
                  <pic:nvPicPr>
                    <pic:cNvPr id="0" name="todos_casos_con_vs_sin.png"/>
                    <pic:cNvPicPr/>
                  </pic:nvPicPr>
                  <pic:blipFill>
                    <a:blip r:embed="rId10"/>
                    <a:stretch>
                      <a:fillRect/>
                    </a:stretch>
                  </pic:blipFill>
                  <pic:spPr>
                    <a:xfrm>
                      <a:off x="0" y="0"/>
                      <a:ext cx="5832000" cy="2838493"/>
                    </a:xfrm>
                    <a:prstGeom prst="rect"/>
                  </pic:spPr>
                </pic:pic>
              </a:graphicData>
            </a:graphic>
          </wp:inline>
        </w:drawing>
      </w:r>
    </w:p>
    <w:p/>
    <w:p>
      <w:r>
        <w:drawing>
          <wp:inline xmlns:a="http://schemas.openxmlformats.org/drawingml/2006/main" xmlns:pic="http://schemas.openxmlformats.org/drawingml/2006/picture">
            <wp:extent cx="5832000" cy="3420807"/>
            <wp:docPr id="2" name="Picture 2"/>
            <wp:cNvGraphicFramePr>
              <a:graphicFrameLocks noChangeAspect="1"/>
            </wp:cNvGraphicFramePr>
            <a:graphic>
              <a:graphicData uri="http://schemas.openxmlformats.org/drawingml/2006/picture">
                <pic:pic>
                  <pic:nvPicPr>
                    <pic:cNvPr id="0" name="dias_homologos_4_puntos.png"/>
                    <pic:cNvPicPr/>
                  </pic:nvPicPr>
                  <pic:blipFill>
                    <a:blip r:embed="rId11"/>
                    <a:stretch>
                      <a:fillRect/>
                    </a:stretch>
                  </pic:blipFill>
                  <pic:spPr>
                    <a:xfrm>
                      <a:off x="0" y="0"/>
                      <a:ext cx="5832000" cy="3420807"/>
                    </a:xfrm>
                    <a:prstGeom prst="rect"/>
                  </pic:spPr>
                </pic:pic>
              </a:graphicData>
            </a:graphic>
          </wp:inline>
        </w:drawing>
      </w:r>
    </w:p>
    <w:p>
      <w:r>
        <w:t>Conjunto: Con WES 265,1 m³; Sin WES 423 m³; diferencia 157,9 m³ (37,3 % sobre el periodo sin control; ~205.244 CLP).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Punto</w:t>
            </w:r>
          </w:p>
        </w:tc>
        <w:tc>
          <w:tcPr>
            <w:tcW w:type="dxa" w:w="1440"/>
            <w:shd w:val="clear" w:fill="1F4788"/>
          </w:tcPr>
          <w:p>
            <w:r>
              <w:rPr>
                <w:b/>
                <w:color w:val="FFFFFF"/>
                <w:sz w:val="18"/>
              </w:rPr>
              <w:t>Con WES (m³)</w:t>
            </w:r>
          </w:p>
        </w:tc>
        <w:tc>
          <w:tcPr>
            <w:tcW w:type="dxa" w:w="1440"/>
            <w:shd w:val="clear" w:fill="1F4788"/>
          </w:tcPr>
          <w:p>
            <w:r>
              <w:rPr>
                <w:b/>
                <w:color w:val="FFFFFF"/>
                <w:sz w:val="18"/>
              </w:rPr>
              <w:t>Sin WES (m³)</w:t>
            </w:r>
          </w:p>
        </w:tc>
        <w:tc>
          <w:tcPr>
            <w:tcW w:type="dxa" w:w="1440"/>
            <w:shd w:val="clear" w:fill="1F4788"/>
          </w:tcPr>
          <w:p>
            <w:r>
              <w:rPr>
                <w:b/>
                <w:color w:val="FFFFFF"/>
                <w:sz w:val="18"/>
              </w:rPr>
              <w:t>Ahorro (m³)</w:t>
            </w:r>
          </w:p>
        </w:tc>
        <w:tc>
          <w:tcPr>
            <w:tcW w:type="dxa" w:w="1440"/>
            <w:shd w:val="clear" w:fill="1F4788"/>
          </w:tcPr>
          <w:p>
            <w:r>
              <w:rPr>
                <w:b/>
                <w:color w:val="FFFFFF"/>
                <w:sz w:val="18"/>
              </w:rPr>
              <w:t>%</w:t>
            </w:r>
          </w:p>
        </w:tc>
        <w:tc>
          <w:tcPr>
            <w:tcW w:type="dxa" w:w="1440"/>
            <w:shd w:val="clear" w:fill="1F4788"/>
          </w:tcPr>
          <w:p>
            <w:r>
              <w:rPr>
                <w:b/>
                <w:color w:val="FFFFFF"/>
                <w:sz w:val="18"/>
              </w:rPr>
              <w:t>Hallazgo</w:t>
            </w:r>
          </w:p>
        </w:tc>
      </w:tr>
      <w:tr>
        <w:tc>
          <w:tcPr>
            <w:tcW w:type="dxa" w:w="1440"/>
            <w:shd w:val="clear" w:fill="E2EFDA"/>
          </w:tcPr>
          <w:p>
            <w:r>
              <w:rPr>
                <w:sz w:val="18"/>
              </w:rPr>
              <w:t>ICCP (Cumbre de Cóndores pte.)</w:t>
            </w:r>
          </w:p>
        </w:tc>
        <w:tc>
          <w:tcPr>
            <w:tcW w:type="dxa" w:w="1440"/>
            <w:shd w:val="clear" w:fill="E2EFDA"/>
          </w:tcPr>
          <w:p>
            <w:r>
              <w:rPr>
                <w:sz w:val="18"/>
              </w:rPr>
              <w:t>62,4</w:t>
            </w:r>
          </w:p>
        </w:tc>
        <w:tc>
          <w:tcPr>
            <w:tcW w:type="dxa" w:w="1440"/>
            <w:shd w:val="clear" w:fill="E2EFDA"/>
          </w:tcPr>
          <w:p>
            <w:r>
              <w:rPr>
                <w:sz w:val="18"/>
              </w:rPr>
              <w:t>120,7</w:t>
            </w:r>
          </w:p>
        </w:tc>
        <w:tc>
          <w:tcPr>
            <w:tcW w:type="dxa" w:w="1440"/>
            <w:shd w:val="clear" w:fill="E2EFDA"/>
          </w:tcPr>
          <w:p>
            <w:r>
              <w:rPr>
                <w:sz w:val="18"/>
              </w:rPr>
              <w:t>58,3</w:t>
            </w:r>
          </w:p>
        </w:tc>
        <w:tc>
          <w:tcPr>
            <w:tcW w:type="dxa" w:w="1440"/>
            <w:shd w:val="clear" w:fill="E2EFDA"/>
          </w:tcPr>
          <w:p>
            <w:r>
              <w:rPr>
                <w:sz w:val="18"/>
              </w:rPr>
              <w:t>48,3 %</w:t>
            </w:r>
          </w:p>
        </w:tc>
        <w:tc>
          <w:tcPr>
            <w:tcW w:type="dxa" w:w="1440"/>
            <w:shd w:val="clear" w:fill="E2EFDA"/>
          </w:tcPr>
          <w:p>
            <w:r>
              <w:rPr>
                <w:sz w:val="18"/>
              </w:rPr>
              <w:t>WES baja el consumo</w:t>
            </w:r>
          </w:p>
        </w:tc>
      </w:tr>
      <w:tr>
        <w:tc>
          <w:tcPr>
            <w:tcW w:type="dxa" w:w="1440"/>
          </w:tcPr>
          <w:p>
            <w:r>
              <w:rPr>
                <w:sz w:val="18"/>
              </w:rPr>
              <w:t>Esc. Lo Velásquez</w:t>
            </w:r>
          </w:p>
        </w:tc>
        <w:tc>
          <w:tcPr>
            <w:tcW w:type="dxa" w:w="1440"/>
          </w:tcPr>
          <w:p>
            <w:r>
              <w:rPr>
                <w:sz w:val="18"/>
              </w:rPr>
              <w:t>34,5</w:t>
            </w:r>
          </w:p>
        </w:tc>
        <w:tc>
          <w:tcPr>
            <w:tcW w:type="dxa" w:w="1440"/>
          </w:tcPr>
          <w:p>
            <w:r>
              <w:rPr>
                <w:sz w:val="18"/>
              </w:rPr>
              <w:t>22,9</w:t>
            </w:r>
          </w:p>
        </w:tc>
        <w:tc>
          <w:tcPr>
            <w:tcW w:type="dxa" w:w="1440"/>
          </w:tcPr>
          <w:p>
            <w:r>
              <w:rPr>
                <w:sz w:val="18"/>
              </w:rPr>
              <w:t>-11,6</w:t>
            </w:r>
          </w:p>
        </w:tc>
        <w:tc>
          <w:tcPr>
            <w:tcW w:type="dxa" w:w="1440"/>
          </w:tcPr>
          <w:p>
            <w:r>
              <w:rPr>
                <w:sz w:val="18"/>
              </w:rPr>
              <w:t>-50,7 %</w:t>
            </w:r>
          </w:p>
        </w:tc>
        <w:tc>
          <w:tcPr>
            <w:tcW w:type="dxa" w:w="1440"/>
          </w:tcPr>
          <w:p>
            <w:r>
              <w:rPr>
                <w:sz w:val="18"/>
              </w:rPr>
              <w:t>Sin WES no gasta más</w:t>
            </w:r>
          </w:p>
        </w:tc>
      </w:tr>
      <w:tr>
        <w:tc>
          <w:tcPr>
            <w:tcW w:type="dxa" w:w="1440"/>
          </w:tcPr>
          <w:p>
            <w:r>
              <w:rPr>
                <w:sz w:val="18"/>
              </w:rPr>
              <w:t>Gimnasio municipal</w:t>
            </w:r>
          </w:p>
        </w:tc>
        <w:tc>
          <w:tcPr>
            <w:tcW w:type="dxa" w:w="1440"/>
          </w:tcPr>
          <w:p>
            <w:r>
              <w:rPr>
                <w:sz w:val="18"/>
              </w:rPr>
              <w:t>35,7</w:t>
            </w:r>
          </w:p>
        </w:tc>
        <w:tc>
          <w:tcPr>
            <w:tcW w:type="dxa" w:w="1440"/>
          </w:tcPr>
          <w:p>
            <w:r>
              <w:rPr>
                <w:sz w:val="18"/>
              </w:rPr>
              <w:t>22,2</w:t>
            </w:r>
          </w:p>
        </w:tc>
        <w:tc>
          <w:tcPr>
            <w:tcW w:type="dxa" w:w="1440"/>
          </w:tcPr>
          <w:p>
            <w:r>
              <w:rPr>
                <w:sz w:val="18"/>
              </w:rPr>
              <w:t>-13,5</w:t>
            </w:r>
          </w:p>
        </w:tc>
        <w:tc>
          <w:tcPr>
            <w:tcW w:type="dxa" w:w="1440"/>
          </w:tcPr>
          <w:p>
            <w:r>
              <w:rPr>
                <w:sz w:val="18"/>
              </w:rPr>
              <w:t>-60,8 %</w:t>
            </w:r>
          </w:p>
        </w:tc>
        <w:tc>
          <w:tcPr>
            <w:tcW w:type="dxa" w:w="1440"/>
          </w:tcPr>
          <w:p>
            <w:r>
              <w:rPr>
                <w:sz w:val="18"/>
              </w:rPr>
              <w:t>Sin WES no gasta más</w:t>
            </w:r>
          </w:p>
        </w:tc>
      </w:tr>
      <w:tr>
        <w:tc>
          <w:tcPr>
            <w:tcW w:type="dxa" w:w="1440"/>
            <w:shd w:val="clear" w:fill="E2EFDA"/>
          </w:tcPr>
          <w:p>
            <w:r>
              <w:rPr>
                <w:sz w:val="18"/>
              </w:rPr>
              <w:t>Piscina municipal</w:t>
            </w:r>
          </w:p>
        </w:tc>
        <w:tc>
          <w:tcPr>
            <w:tcW w:type="dxa" w:w="1440"/>
            <w:shd w:val="clear" w:fill="E2EFDA"/>
          </w:tcPr>
          <w:p>
            <w:r>
              <w:rPr>
                <w:sz w:val="18"/>
              </w:rPr>
              <w:t>132,6</w:t>
            </w:r>
          </w:p>
        </w:tc>
        <w:tc>
          <w:tcPr>
            <w:tcW w:type="dxa" w:w="1440"/>
            <w:shd w:val="clear" w:fill="E2EFDA"/>
          </w:tcPr>
          <w:p>
            <w:r>
              <w:rPr>
                <w:sz w:val="18"/>
              </w:rPr>
              <w:t>257,2</w:t>
            </w:r>
          </w:p>
        </w:tc>
        <w:tc>
          <w:tcPr>
            <w:tcW w:type="dxa" w:w="1440"/>
            <w:shd w:val="clear" w:fill="E2EFDA"/>
          </w:tcPr>
          <w:p>
            <w:r>
              <w:rPr>
                <w:sz w:val="18"/>
              </w:rPr>
              <w:t>124,7</w:t>
            </w:r>
          </w:p>
        </w:tc>
        <w:tc>
          <w:tcPr>
            <w:tcW w:type="dxa" w:w="1440"/>
            <w:shd w:val="clear" w:fill="E2EFDA"/>
          </w:tcPr>
          <w:p>
            <w:r>
              <w:rPr>
                <w:sz w:val="18"/>
              </w:rPr>
              <w:t>48,5 %</w:t>
            </w:r>
          </w:p>
        </w:tc>
        <w:tc>
          <w:tcPr>
            <w:tcW w:type="dxa" w:w="1440"/>
            <w:shd w:val="clear" w:fill="E2EFDA"/>
          </w:tcPr>
          <w:p>
            <w:r>
              <w:rPr>
                <w:sz w:val="18"/>
              </w:rPr>
              <w:t>WES baja el consumo</w:t>
            </w:r>
          </w:p>
        </w:tc>
      </w:tr>
      <w:tr>
        <w:tc>
          <w:tcPr>
            <w:tcW w:type="dxa" w:w="1440"/>
            <w:shd w:val="clear" w:fill="D6DCE4"/>
          </w:tcPr>
          <w:p>
            <w:r>
              <w:rPr>
                <w:b/>
                <w:sz w:val="18"/>
              </w:rPr>
              <w:t>Total 4 puntos</w:t>
            </w:r>
          </w:p>
        </w:tc>
        <w:tc>
          <w:tcPr>
            <w:tcW w:type="dxa" w:w="1440"/>
            <w:shd w:val="clear" w:fill="D6DCE4"/>
          </w:tcPr>
          <w:p>
            <w:r>
              <w:rPr>
                <w:b/>
                <w:sz w:val="18"/>
              </w:rPr>
              <w:t>265,1</w:t>
            </w:r>
          </w:p>
        </w:tc>
        <w:tc>
          <w:tcPr>
            <w:tcW w:type="dxa" w:w="1440"/>
            <w:shd w:val="clear" w:fill="D6DCE4"/>
          </w:tcPr>
          <w:p>
            <w:r>
              <w:rPr>
                <w:b/>
                <w:sz w:val="18"/>
              </w:rPr>
              <w:t>423</w:t>
            </w:r>
          </w:p>
        </w:tc>
        <w:tc>
          <w:tcPr>
            <w:tcW w:type="dxa" w:w="1440"/>
            <w:shd w:val="clear" w:fill="D6DCE4"/>
          </w:tcPr>
          <w:p>
            <w:r>
              <w:rPr>
                <w:b/>
                <w:sz w:val="18"/>
              </w:rPr>
              <w:t>157,9</w:t>
            </w:r>
          </w:p>
        </w:tc>
        <w:tc>
          <w:tcPr>
            <w:tcW w:type="dxa" w:w="1440"/>
            <w:shd w:val="clear" w:fill="D6DCE4"/>
          </w:tcPr>
          <w:p>
            <w:r>
              <w:rPr>
                <w:b/>
                <w:sz w:val="18"/>
              </w:rPr>
              <w:t>37,3 %</w:t>
            </w:r>
          </w:p>
        </w:tc>
        <w:tc>
          <w:tcPr>
            <w:tcW w:type="dxa" w:w="1440"/>
            <w:shd w:val="clear" w:fill="D6DCE4"/>
          </w:tcPr>
          <w:p>
            <w:r>
              <w:rPr>
                <w:b/>
                <w:sz w:val="18"/>
              </w:rPr>
            </w:r>
          </w:p>
        </w:tc>
      </w:tr>
    </w:tbl>
    <w:p>
      <w:pPr>
        <w:pStyle w:val="Heading1"/>
      </w:pPr>
      <w:r>
        <w:t>ICCP (Cumbre de Cóndores pte.)</w:t>
      </w:r>
    </w:p>
    <w:p>
      <w:r>
        <w:t>Con WES 62,4 m³ vs Sin WES 120,7 m³ → 48,3 % (58,3 m³).</w:t>
      </w:r>
    </w:p>
    <w:p>
      <w:r>
        <w:drawing>
          <wp:inline xmlns:a="http://schemas.openxmlformats.org/drawingml/2006/main" xmlns:pic="http://schemas.openxmlformats.org/drawingml/2006/picture">
            <wp:extent cx="4500000" cy="3197483"/>
            <wp:docPr id="3" name="Picture 3"/>
            <wp:cNvGraphicFramePr>
              <a:graphicFrameLocks noChangeAspect="1"/>
            </wp:cNvGraphicFramePr>
            <a:graphic>
              <a:graphicData uri="http://schemas.openxmlformats.org/drawingml/2006/picture">
                <pic:pic>
                  <pic:nvPicPr>
                    <pic:cNvPr id="0" name="02_barras_total_rejilla_por_periodo.png"/>
                    <pic:cNvPicPr/>
                  </pic:nvPicPr>
                  <pic:blipFill>
                    <a:blip r:embed="rId12"/>
                    <a:stretch>
                      <a:fillRect/>
                    </a:stretch>
                  </pic:blipFill>
                  <pic:spPr>
                    <a:xfrm>
                      <a:off x="0" y="0"/>
                      <a:ext cx="4500000" cy="3197483"/>
                    </a:xfrm>
                    <a:prstGeom prst="rect"/>
                  </pic:spPr>
                </pic:pic>
              </a:graphicData>
            </a:graphic>
          </wp:inline>
        </w:drawing>
      </w:r>
    </w:p>
    <w:p>
      <w:r>
        <w:drawing>
          <wp:inline xmlns:a="http://schemas.openxmlformats.org/drawingml/2006/main" xmlns:pic="http://schemas.openxmlformats.org/drawingml/2006/picture">
            <wp:extent cx="5760000" cy="2857101"/>
            <wp:docPr id="4" name="Picture 4"/>
            <wp:cNvGraphicFramePr>
              <a:graphicFrameLocks noChangeAspect="1"/>
            </wp:cNvGraphicFramePr>
            <a:graphic>
              <a:graphicData uri="http://schemas.openxmlformats.org/drawingml/2006/picture">
                <pic:pic>
                  <pic:nvPicPr>
                    <pic:cNvPr id="0" name="04_area_Lunes.png"/>
                    <pic:cNvPicPr/>
                  </pic:nvPicPr>
                  <pic:blipFill>
                    <a:blip r:embed="rId13"/>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5" name="Picture 5"/>
            <wp:cNvGraphicFramePr>
              <a:graphicFrameLocks noChangeAspect="1"/>
            </wp:cNvGraphicFramePr>
            <a:graphic>
              <a:graphicData uri="http://schemas.openxmlformats.org/drawingml/2006/picture">
                <pic:pic>
                  <pic:nvPicPr>
                    <pic:cNvPr id="0" name="05_area_Martes.png"/>
                    <pic:cNvPicPr/>
                  </pic:nvPicPr>
                  <pic:blipFill>
                    <a:blip r:embed="rId1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8849"/>
            <wp:docPr id="6" name="Picture 6"/>
            <wp:cNvGraphicFramePr>
              <a:graphicFrameLocks noChangeAspect="1"/>
            </wp:cNvGraphicFramePr>
            <a:graphic>
              <a:graphicData uri="http://schemas.openxmlformats.org/drawingml/2006/picture">
                <pic:pic>
                  <pic:nvPicPr>
                    <pic:cNvPr id="0" name="06_area_Miercoles.png"/>
                    <pic:cNvPicPr/>
                  </pic:nvPicPr>
                  <pic:blipFill>
                    <a:blip r:embed="rId15"/>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8849"/>
            <wp:docPr id="7" name="Picture 7"/>
            <wp:cNvGraphicFramePr>
              <a:graphicFrameLocks noChangeAspect="1"/>
            </wp:cNvGraphicFramePr>
            <a:graphic>
              <a:graphicData uri="http://schemas.openxmlformats.org/drawingml/2006/picture">
                <pic:pic>
                  <pic:nvPicPr>
                    <pic:cNvPr id="0" name="07_area_Jueves.png"/>
                    <pic:cNvPicPr/>
                  </pic:nvPicPr>
                  <pic:blipFill>
                    <a:blip r:embed="rId16"/>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7101"/>
            <wp:docPr id="8" name="Picture 8"/>
            <wp:cNvGraphicFramePr>
              <a:graphicFrameLocks noChangeAspect="1"/>
            </wp:cNvGraphicFramePr>
            <a:graphic>
              <a:graphicData uri="http://schemas.openxmlformats.org/drawingml/2006/picture">
                <pic:pic>
                  <pic:nvPicPr>
                    <pic:cNvPr id="0" name="08_area_Viernes.png"/>
                    <pic:cNvPicPr/>
                  </pic:nvPicPr>
                  <pic:blipFill>
                    <a:blip r:embed="rId1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18"/>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16,3</w:t>
            </w:r>
          </w:p>
        </w:tc>
        <w:tc>
          <w:tcPr>
            <w:tcW w:type="dxa" w:w="1728"/>
          </w:tcPr>
          <w:p>
            <w:r>
              <w:rPr>
                <w:sz w:val="18"/>
              </w:rPr>
              <w:t>21,2</w:t>
            </w:r>
          </w:p>
        </w:tc>
        <w:tc>
          <w:tcPr>
            <w:tcW w:type="dxa" w:w="1728"/>
          </w:tcPr>
          <w:p>
            <w:r>
              <w:rPr>
                <w:sz w:val="18"/>
              </w:rPr>
              <w:t>4,9</w:t>
            </w:r>
          </w:p>
        </w:tc>
        <w:tc>
          <w:tcPr>
            <w:tcW w:type="dxa" w:w="1728"/>
          </w:tcPr>
          <w:p>
            <w:r>
              <w:rPr>
                <w:sz w:val="18"/>
              </w:rPr>
              <w:t>23,1 %</w:t>
            </w:r>
          </w:p>
        </w:tc>
      </w:tr>
      <w:tr>
        <w:tc>
          <w:tcPr>
            <w:tcW w:type="dxa" w:w="1728"/>
          </w:tcPr>
          <w:p>
            <w:r>
              <w:rPr>
                <w:sz w:val="18"/>
              </w:rPr>
              <w:t>Mar 11 vs 18</w:t>
            </w:r>
          </w:p>
        </w:tc>
        <w:tc>
          <w:tcPr>
            <w:tcW w:type="dxa" w:w="1728"/>
          </w:tcPr>
          <w:p>
            <w:r>
              <w:rPr>
                <w:sz w:val="18"/>
              </w:rPr>
              <w:t>15,5</w:t>
            </w:r>
          </w:p>
        </w:tc>
        <w:tc>
          <w:tcPr>
            <w:tcW w:type="dxa" w:w="1728"/>
          </w:tcPr>
          <w:p>
            <w:r>
              <w:rPr>
                <w:sz w:val="18"/>
              </w:rPr>
              <w:t>21,4</w:t>
            </w:r>
          </w:p>
        </w:tc>
        <w:tc>
          <w:tcPr>
            <w:tcW w:type="dxa" w:w="1728"/>
          </w:tcPr>
          <w:p>
            <w:r>
              <w:rPr>
                <w:sz w:val="18"/>
              </w:rPr>
              <w:t>5,9</w:t>
            </w:r>
          </w:p>
        </w:tc>
        <w:tc>
          <w:tcPr>
            <w:tcW w:type="dxa" w:w="1728"/>
          </w:tcPr>
          <w:p>
            <w:r>
              <w:rPr>
                <w:sz w:val="18"/>
              </w:rPr>
              <w:t>27,6 %</w:t>
            </w:r>
          </w:p>
        </w:tc>
      </w:tr>
      <w:tr>
        <w:tc>
          <w:tcPr>
            <w:tcW w:type="dxa" w:w="1728"/>
          </w:tcPr>
          <w:p>
            <w:r>
              <w:rPr>
                <w:sz w:val="18"/>
              </w:rPr>
              <w:t>Mié 12 vs 19</w:t>
            </w:r>
          </w:p>
        </w:tc>
        <w:tc>
          <w:tcPr>
            <w:tcW w:type="dxa" w:w="1728"/>
          </w:tcPr>
          <w:p>
            <w:r>
              <w:rPr>
                <w:sz w:val="18"/>
              </w:rPr>
              <w:t>13,5</w:t>
            </w:r>
          </w:p>
        </w:tc>
        <w:tc>
          <w:tcPr>
            <w:tcW w:type="dxa" w:w="1728"/>
          </w:tcPr>
          <w:p>
            <w:r>
              <w:rPr>
                <w:sz w:val="18"/>
              </w:rPr>
              <w:t>49,7</w:t>
            </w:r>
          </w:p>
        </w:tc>
        <w:tc>
          <w:tcPr>
            <w:tcW w:type="dxa" w:w="1728"/>
          </w:tcPr>
          <w:p>
            <w:r>
              <w:rPr>
                <w:sz w:val="18"/>
              </w:rPr>
              <w:t>36,2</w:t>
            </w:r>
          </w:p>
        </w:tc>
        <w:tc>
          <w:tcPr>
            <w:tcW w:type="dxa" w:w="1728"/>
          </w:tcPr>
          <w:p>
            <w:r>
              <w:rPr>
                <w:sz w:val="18"/>
              </w:rPr>
              <w:t>72,8 %</w:t>
            </w:r>
          </w:p>
        </w:tc>
      </w:tr>
      <w:tr>
        <w:tc>
          <w:tcPr>
            <w:tcW w:type="dxa" w:w="1728"/>
          </w:tcPr>
          <w:p>
            <w:r>
              <w:rPr>
                <w:sz w:val="18"/>
              </w:rPr>
              <w:t>Jue 13 vs 20</w:t>
            </w:r>
          </w:p>
        </w:tc>
        <w:tc>
          <w:tcPr>
            <w:tcW w:type="dxa" w:w="1728"/>
          </w:tcPr>
          <w:p>
            <w:r>
              <w:rPr>
                <w:sz w:val="18"/>
              </w:rPr>
              <w:t>14,4</w:t>
            </w:r>
          </w:p>
        </w:tc>
        <w:tc>
          <w:tcPr>
            <w:tcW w:type="dxa" w:w="1728"/>
          </w:tcPr>
          <w:p>
            <w:r>
              <w:rPr>
                <w:sz w:val="18"/>
              </w:rPr>
              <w:t>20,9</w:t>
            </w:r>
          </w:p>
        </w:tc>
        <w:tc>
          <w:tcPr>
            <w:tcW w:type="dxa" w:w="1728"/>
          </w:tcPr>
          <w:p>
            <w:r>
              <w:rPr>
                <w:sz w:val="18"/>
              </w:rPr>
              <w:t>6,5</w:t>
            </w:r>
          </w:p>
        </w:tc>
        <w:tc>
          <w:tcPr>
            <w:tcW w:type="dxa" w:w="1728"/>
          </w:tcPr>
          <w:p>
            <w:r>
              <w:rPr>
                <w:sz w:val="18"/>
              </w:rPr>
              <w:t>31,1 %</w:t>
            </w:r>
          </w:p>
        </w:tc>
      </w:tr>
      <w:tr>
        <w:tc>
          <w:tcPr>
            <w:tcW w:type="dxa" w:w="1728"/>
          </w:tcPr>
          <w:p>
            <w:r>
              <w:rPr>
                <w:sz w:val="18"/>
              </w:rPr>
              <w:t>Vie 14 vs 21 (00:00–10:59)</w:t>
            </w:r>
          </w:p>
        </w:tc>
        <w:tc>
          <w:tcPr>
            <w:tcW w:type="dxa" w:w="1728"/>
          </w:tcPr>
          <w:p>
            <w:r>
              <w:rPr>
                <w:sz w:val="18"/>
              </w:rPr>
              <w:t>2,7</w:t>
            </w:r>
          </w:p>
        </w:tc>
        <w:tc>
          <w:tcPr>
            <w:tcW w:type="dxa" w:w="1728"/>
          </w:tcPr>
          <w:p>
            <w:r>
              <w:rPr>
                <w:sz w:val="18"/>
              </w:rPr>
              <w:t>7,5</w:t>
            </w:r>
          </w:p>
        </w:tc>
        <w:tc>
          <w:tcPr>
            <w:tcW w:type="dxa" w:w="1728"/>
          </w:tcPr>
          <w:p>
            <w:r>
              <w:rPr>
                <w:sz w:val="18"/>
              </w:rPr>
              <w:t>4,8</w:t>
            </w:r>
          </w:p>
        </w:tc>
        <w:tc>
          <w:tcPr>
            <w:tcW w:type="dxa" w:w="1728"/>
          </w:tcPr>
          <w:p>
            <w:r>
              <w:rPr>
                <w:sz w:val="18"/>
              </w:rPr>
              <w:t>64 %</w:t>
            </w:r>
          </w:p>
        </w:tc>
      </w:tr>
    </w:tbl>
    <w:p>
      <w:pPr>
        <w:pStyle w:val="Heading1"/>
      </w:pPr>
      <w:r>
        <w:t>Esc. Lo Velásquez</w:t>
      </w:r>
    </w:p>
    <w:p>
      <w:r>
        <w:t>Con WES 34,5 m³ vs Sin WES 22,9 m³ → -50,7 % (-11,6 m³).</w:t>
      </w:r>
    </w:p>
    <w:p>
      <w:r>
        <w:drawing>
          <wp:inline xmlns:a="http://schemas.openxmlformats.org/drawingml/2006/main" xmlns:pic="http://schemas.openxmlformats.org/drawingml/2006/picture">
            <wp:extent cx="4500000" cy="3194391"/>
            <wp:docPr id="10" name="Picture 10"/>
            <wp:cNvGraphicFramePr>
              <a:graphicFrameLocks noChangeAspect="1"/>
            </wp:cNvGraphicFramePr>
            <a:graphic>
              <a:graphicData uri="http://schemas.openxmlformats.org/drawingml/2006/picture">
                <pic:pic>
                  <pic:nvPicPr>
                    <pic:cNvPr id="0" name="02_barras_total_rejilla_por_periodo.png"/>
                    <pic:cNvPicPr/>
                  </pic:nvPicPr>
                  <pic:blipFill>
                    <a:blip r:embed="rId19"/>
                    <a:stretch>
                      <a:fillRect/>
                    </a:stretch>
                  </pic:blipFill>
                  <pic:spPr>
                    <a:xfrm>
                      <a:off x="0" y="0"/>
                      <a:ext cx="4500000" cy="3194391"/>
                    </a:xfrm>
                    <a:prstGeom prst="rect"/>
                  </pic:spPr>
                </pic:pic>
              </a:graphicData>
            </a:graphic>
          </wp:inline>
        </w:drawing>
      </w:r>
    </w:p>
    <w:p>
      <w:r>
        <w:drawing>
          <wp:inline xmlns:a="http://schemas.openxmlformats.org/drawingml/2006/main" xmlns:pic="http://schemas.openxmlformats.org/drawingml/2006/picture">
            <wp:extent cx="5760000" cy="2857101"/>
            <wp:docPr id="11" name="Picture 11"/>
            <wp:cNvGraphicFramePr>
              <a:graphicFrameLocks noChangeAspect="1"/>
            </wp:cNvGraphicFramePr>
            <a:graphic>
              <a:graphicData uri="http://schemas.openxmlformats.org/drawingml/2006/picture">
                <pic:pic>
                  <pic:nvPicPr>
                    <pic:cNvPr id="0" name="04_area_Lunes.png"/>
                    <pic:cNvPicPr/>
                  </pic:nvPicPr>
                  <pic:blipFill>
                    <a:blip r:embed="rId20"/>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2" name="Picture 12"/>
            <wp:cNvGraphicFramePr>
              <a:graphicFrameLocks noChangeAspect="1"/>
            </wp:cNvGraphicFramePr>
            <a:graphic>
              <a:graphicData uri="http://schemas.openxmlformats.org/drawingml/2006/picture">
                <pic:pic>
                  <pic:nvPicPr>
                    <pic:cNvPr id="0" name="05_area_Martes.png"/>
                    <pic:cNvPicPr/>
                  </pic:nvPicPr>
                  <pic:blipFill>
                    <a:blip r:embed="rId21"/>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3" name="Picture 13"/>
            <wp:cNvGraphicFramePr>
              <a:graphicFrameLocks noChangeAspect="1"/>
            </wp:cNvGraphicFramePr>
            <a:graphic>
              <a:graphicData uri="http://schemas.openxmlformats.org/drawingml/2006/picture">
                <pic:pic>
                  <pic:nvPicPr>
                    <pic:cNvPr id="0" name="06_area_Miercoles.png"/>
                    <pic:cNvPicPr/>
                  </pic:nvPicPr>
                  <pic:blipFill>
                    <a:blip r:embed="rId22"/>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4" name="Picture 14"/>
            <wp:cNvGraphicFramePr>
              <a:graphicFrameLocks noChangeAspect="1"/>
            </wp:cNvGraphicFramePr>
            <a:graphic>
              <a:graphicData uri="http://schemas.openxmlformats.org/drawingml/2006/picture">
                <pic:pic>
                  <pic:nvPicPr>
                    <pic:cNvPr id="0" name="07_area_Jueves.png"/>
                    <pic:cNvPicPr/>
                  </pic:nvPicPr>
                  <pic:blipFill>
                    <a:blip r:embed="rId23"/>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5" name="Picture 15"/>
            <wp:cNvGraphicFramePr>
              <a:graphicFrameLocks noChangeAspect="1"/>
            </wp:cNvGraphicFramePr>
            <a:graphic>
              <a:graphicData uri="http://schemas.openxmlformats.org/drawingml/2006/picture">
                <pic:pic>
                  <pic:nvPicPr>
                    <pic:cNvPr id="0" name="08_area_Viernes.png"/>
                    <pic:cNvPicPr/>
                  </pic:nvPicPr>
                  <pic:blipFill>
                    <a:blip r:embed="rId2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6" name="Picture 16"/>
            <wp:cNvGraphicFramePr>
              <a:graphicFrameLocks noChangeAspect="1"/>
            </wp:cNvGraphicFramePr>
            <a:graphic>
              <a:graphicData uri="http://schemas.openxmlformats.org/drawingml/2006/picture">
                <pic:pic>
                  <pic:nvPicPr>
                    <pic:cNvPr id="0" name="03_area_promedio_24h.png"/>
                    <pic:cNvPicPr/>
                  </pic:nvPicPr>
                  <pic:blipFill>
                    <a:blip r:embed="rId25"/>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7,8</w:t>
            </w:r>
          </w:p>
        </w:tc>
        <w:tc>
          <w:tcPr>
            <w:tcW w:type="dxa" w:w="1728"/>
          </w:tcPr>
          <w:p>
            <w:r>
              <w:rPr>
                <w:sz w:val="18"/>
              </w:rPr>
              <w:t>4,9</w:t>
            </w:r>
          </w:p>
        </w:tc>
        <w:tc>
          <w:tcPr>
            <w:tcW w:type="dxa" w:w="1728"/>
          </w:tcPr>
          <w:p>
            <w:r>
              <w:rPr>
                <w:sz w:val="18"/>
              </w:rPr>
              <w:t>-2,9</w:t>
            </w:r>
          </w:p>
        </w:tc>
        <w:tc>
          <w:tcPr>
            <w:tcW w:type="dxa" w:w="1728"/>
          </w:tcPr>
          <w:p>
            <w:r>
              <w:rPr>
                <w:sz w:val="18"/>
              </w:rPr>
              <w:t>-58,9 %</w:t>
            </w:r>
          </w:p>
        </w:tc>
      </w:tr>
      <w:tr>
        <w:tc>
          <w:tcPr>
            <w:tcW w:type="dxa" w:w="1728"/>
          </w:tcPr>
          <w:p>
            <w:r>
              <w:rPr>
                <w:sz w:val="18"/>
              </w:rPr>
              <w:t>Mar 11 vs 18</w:t>
            </w:r>
          </w:p>
        </w:tc>
        <w:tc>
          <w:tcPr>
            <w:tcW w:type="dxa" w:w="1728"/>
          </w:tcPr>
          <w:p>
            <w:r>
              <w:rPr>
                <w:sz w:val="18"/>
              </w:rPr>
              <w:t>7,5</w:t>
            </w:r>
          </w:p>
        </w:tc>
        <w:tc>
          <w:tcPr>
            <w:tcW w:type="dxa" w:w="1728"/>
          </w:tcPr>
          <w:p>
            <w:r>
              <w:rPr>
                <w:sz w:val="18"/>
              </w:rPr>
              <w:t>5,9</w:t>
            </w:r>
          </w:p>
        </w:tc>
        <w:tc>
          <w:tcPr>
            <w:tcW w:type="dxa" w:w="1728"/>
          </w:tcPr>
          <w:p>
            <w:r>
              <w:rPr>
                <w:sz w:val="18"/>
              </w:rPr>
              <w:t>-1,7</w:t>
            </w:r>
          </w:p>
        </w:tc>
        <w:tc>
          <w:tcPr>
            <w:tcW w:type="dxa" w:w="1728"/>
          </w:tcPr>
          <w:p>
            <w:r>
              <w:rPr>
                <w:sz w:val="18"/>
              </w:rPr>
              <w:t>-28,5 %</w:t>
            </w:r>
          </w:p>
        </w:tc>
      </w:tr>
      <w:tr>
        <w:tc>
          <w:tcPr>
            <w:tcW w:type="dxa" w:w="1728"/>
          </w:tcPr>
          <w:p>
            <w:r>
              <w:rPr>
                <w:sz w:val="18"/>
              </w:rPr>
              <w:t>Mié 12 vs 19</w:t>
            </w:r>
          </w:p>
        </w:tc>
        <w:tc>
          <w:tcPr>
            <w:tcW w:type="dxa" w:w="1728"/>
          </w:tcPr>
          <w:p>
            <w:r>
              <w:rPr>
                <w:sz w:val="18"/>
              </w:rPr>
              <w:t>7,4</w:t>
            </w:r>
          </w:p>
        </w:tc>
        <w:tc>
          <w:tcPr>
            <w:tcW w:type="dxa" w:w="1728"/>
          </w:tcPr>
          <w:p>
            <w:r>
              <w:rPr>
                <w:sz w:val="18"/>
              </w:rPr>
              <w:t>5,6</w:t>
            </w:r>
          </w:p>
        </w:tc>
        <w:tc>
          <w:tcPr>
            <w:tcW w:type="dxa" w:w="1728"/>
          </w:tcPr>
          <w:p>
            <w:r>
              <w:rPr>
                <w:sz w:val="18"/>
              </w:rPr>
              <w:t>-1,8</w:t>
            </w:r>
          </w:p>
        </w:tc>
        <w:tc>
          <w:tcPr>
            <w:tcW w:type="dxa" w:w="1728"/>
          </w:tcPr>
          <w:p>
            <w:r>
              <w:rPr>
                <w:sz w:val="18"/>
              </w:rPr>
              <w:t>-32,6 %</w:t>
            </w:r>
          </w:p>
        </w:tc>
      </w:tr>
      <w:tr>
        <w:tc>
          <w:tcPr>
            <w:tcW w:type="dxa" w:w="1728"/>
          </w:tcPr>
          <w:p>
            <w:r>
              <w:rPr>
                <w:sz w:val="18"/>
              </w:rPr>
              <w:t>Jue 13 vs 20</w:t>
            </w:r>
          </w:p>
        </w:tc>
        <w:tc>
          <w:tcPr>
            <w:tcW w:type="dxa" w:w="1728"/>
          </w:tcPr>
          <w:p>
            <w:r>
              <w:rPr>
                <w:sz w:val="18"/>
              </w:rPr>
              <w:t>8,8</w:t>
            </w:r>
          </w:p>
        </w:tc>
        <w:tc>
          <w:tcPr>
            <w:tcW w:type="dxa" w:w="1728"/>
          </w:tcPr>
          <w:p>
            <w:r>
              <w:rPr>
                <w:sz w:val="18"/>
              </w:rPr>
              <w:t>5,5</w:t>
            </w:r>
          </w:p>
        </w:tc>
        <w:tc>
          <w:tcPr>
            <w:tcW w:type="dxa" w:w="1728"/>
          </w:tcPr>
          <w:p>
            <w:r>
              <w:rPr>
                <w:sz w:val="18"/>
              </w:rPr>
              <w:t>-3,2</w:t>
            </w:r>
          </w:p>
        </w:tc>
        <w:tc>
          <w:tcPr>
            <w:tcW w:type="dxa" w:w="1728"/>
          </w:tcPr>
          <w:p>
            <w:r>
              <w:rPr>
                <w:sz w:val="18"/>
              </w:rPr>
              <w:t>-58,5 %</w:t>
            </w:r>
          </w:p>
        </w:tc>
      </w:tr>
      <w:tr>
        <w:tc>
          <w:tcPr>
            <w:tcW w:type="dxa" w:w="1728"/>
          </w:tcPr>
          <w:p>
            <w:r>
              <w:rPr>
                <w:sz w:val="18"/>
              </w:rPr>
              <w:t>Vie 14 vs 21 (00:00–10:59)</w:t>
            </w:r>
          </w:p>
        </w:tc>
        <w:tc>
          <w:tcPr>
            <w:tcW w:type="dxa" w:w="1728"/>
          </w:tcPr>
          <w:p>
            <w:r>
              <w:rPr>
                <w:sz w:val="18"/>
              </w:rPr>
              <w:t>3,1</w:t>
            </w:r>
          </w:p>
        </w:tc>
        <w:tc>
          <w:tcPr>
            <w:tcW w:type="dxa" w:w="1728"/>
          </w:tcPr>
          <w:p>
            <w:r>
              <w:rPr>
                <w:sz w:val="18"/>
              </w:rPr>
              <w:t>1,1</w:t>
            </w:r>
          </w:p>
        </w:tc>
        <w:tc>
          <w:tcPr>
            <w:tcW w:type="dxa" w:w="1728"/>
          </w:tcPr>
          <w:p>
            <w:r>
              <w:rPr>
                <w:sz w:val="18"/>
              </w:rPr>
              <w:t>-2</w:t>
            </w:r>
          </w:p>
        </w:tc>
        <w:tc>
          <w:tcPr>
            <w:tcW w:type="dxa" w:w="1728"/>
          </w:tcPr>
          <w:p>
            <w:r>
              <w:rPr>
                <w:sz w:val="18"/>
              </w:rPr>
              <w:t>-190,6 %</w:t>
            </w:r>
          </w:p>
        </w:tc>
      </w:tr>
    </w:tbl>
    <w:p>
      <w:pPr>
        <w:pStyle w:val="Heading1"/>
      </w:pPr>
      <w:r>
        <w:t>Gimnasio municipal</w:t>
      </w:r>
    </w:p>
    <w:p>
      <w:r>
        <w:t>Con WES 35,7 m³ vs Sin WES 22,2 m³ → -60,8 % (-13,5 m³).</w:t>
      </w:r>
    </w:p>
    <w:p>
      <w:r>
        <w:drawing>
          <wp:inline xmlns:a="http://schemas.openxmlformats.org/drawingml/2006/main" xmlns:pic="http://schemas.openxmlformats.org/drawingml/2006/picture">
            <wp:extent cx="4500000" cy="3194391"/>
            <wp:docPr id="17" name="Picture 17"/>
            <wp:cNvGraphicFramePr>
              <a:graphicFrameLocks noChangeAspect="1"/>
            </wp:cNvGraphicFramePr>
            <a:graphic>
              <a:graphicData uri="http://schemas.openxmlformats.org/drawingml/2006/picture">
                <pic:pic>
                  <pic:nvPicPr>
                    <pic:cNvPr id="0" name="02_barras_total_rejilla_por_periodo.png"/>
                    <pic:cNvPicPr/>
                  </pic:nvPicPr>
                  <pic:blipFill>
                    <a:blip r:embed="rId26"/>
                    <a:stretch>
                      <a:fillRect/>
                    </a:stretch>
                  </pic:blipFill>
                  <pic:spPr>
                    <a:xfrm>
                      <a:off x="0" y="0"/>
                      <a:ext cx="4500000" cy="3194391"/>
                    </a:xfrm>
                    <a:prstGeom prst="rect"/>
                  </pic:spPr>
                </pic:pic>
              </a:graphicData>
            </a:graphic>
          </wp:inline>
        </w:drawing>
      </w:r>
    </w:p>
    <w:p>
      <w:r>
        <w:drawing>
          <wp:inline xmlns:a="http://schemas.openxmlformats.org/drawingml/2006/main" xmlns:pic="http://schemas.openxmlformats.org/drawingml/2006/picture">
            <wp:extent cx="5760000" cy="2857101"/>
            <wp:docPr id="18" name="Picture 18"/>
            <wp:cNvGraphicFramePr>
              <a:graphicFrameLocks noChangeAspect="1"/>
            </wp:cNvGraphicFramePr>
            <a:graphic>
              <a:graphicData uri="http://schemas.openxmlformats.org/drawingml/2006/picture">
                <pic:pic>
                  <pic:nvPicPr>
                    <pic:cNvPr id="0" name="04_area_Lunes.png"/>
                    <pic:cNvPicPr/>
                  </pic:nvPicPr>
                  <pic:blipFill>
                    <a:blip r:embed="rId2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8849"/>
            <wp:docPr id="19" name="Picture 19"/>
            <wp:cNvGraphicFramePr>
              <a:graphicFrameLocks noChangeAspect="1"/>
            </wp:cNvGraphicFramePr>
            <a:graphic>
              <a:graphicData uri="http://schemas.openxmlformats.org/drawingml/2006/picture">
                <pic:pic>
                  <pic:nvPicPr>
                    <pic:cNvPr id="0" name="05_area_Martes.png"/>
                    <pic:cNvPicPr/>
                  </pic:nvPicPr>
                  <pic:blipFill>
                    <a:blip r:embed="rId28"/>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7101"/>
            <wp:docPr id="20" name="Picture 20"/>
            <wp:cNvGraphicFramePr>
              <a:graphicFrameLocks noChangeAspect="1"/>
            </wp:cNvGraphicFramePr>
            <a:graphic>
              <a:graphicData uri="http://schemas.openxmlformats.org/drawingml/2006/picture">
                <pic:pic>
                  <pic:nvPicPr>
                    <pic:cNvPr id="0" name="06_area_Miercoles.png"/>
                    <pic:cNvPicPr/>
                  </pic:nvPicPr>
                  <pic:blipFill>
                    <a:blip r:embed="rId29"/>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1" name="Picture 21"/>
            <wp:cNvGraphicFramePr>
              <a:graphicFrameLocks noChangeAspect="1"/>
            </wp:cNvGraphicFramePr>
            <a:graphic>
              <a:graphicData uri="http://schemas.openxmlformats.org/drawingml/2006/picture">
                <pic:pic>
                  <pic:nvPicPr>
                    <pic:cNvPr id="0" name="07_area_Jueves.png"/>
                    <pic:cNvPicPr/>
                  </pic:nvPicPr>
                  <pic:blipFill>
                    <a:blip r:embed="rId30"/>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2" name="Picture 22"/>
            <wp:cNvGraphicFramePr>
              <a:graphicFrameLocks noChangeAspect="1"/>
            </wp:cNvGraphicFramePr>
            <a:graphic>
              <a:graphicData uri="http://schemas.openxmlformats.org/drawingml/2006/picture">
                <pic:pic>
                  <pic:nvPicPr>
                    <pic:cNvPr id="0" name="08_area_Viernes.png"/>
                    <pic:cNvPicPr/>
                  </pic:nvPicPr>
                  <pic:blipFill>
                    <a:blip r:embed="rId31"/>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3" name="Picture 23"/>
            <wp:cNvGraphicFramePr>
              <a:graphicFrameLocks noChangeAspect="1"/>
            </wp:cNvGraphicFramePr>
            <a:graphic>
              <a:graphicData uri="http://schemas.openxmlformats.org/drawingml/2006/picture">
                <pic:pic>
                  <pic:nvPicPr>
                    <pic:cNvPr id="0" name="03_area_promedio_24h.png"/>
                    <pic:cNvPicPr/>
                  </pic:nvPicPr>
                  <pic:blipFill>
                    <a:blip r:embed="rId32"/>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6,3</w:t>
            </w:r>
          </w:p>
        </w:tc>
        <w:tc>
          <w:tcPr>
            <w:tcW w:type="dxa" w:w="1728"/>
          </w:tcPr>
          <w:p>
            <w:r>
              <w:rPr>
                <w:sz w:val="18"/>
              </w:rPr>
              <w:t>8</w:t>
            </w:r>
          </w:p>
        </w:tc>
        <w:tc>
          <w:tcPr>
            <w:tcW w:type="dxa" w:w="1728"/>
          </w:tcPr>
          <w:p>
            <w:r>
              <w:rPr>
                <w:sz w:val="18"/>
              </w:rPr>
              <w:t>1,7</w:t>
            </w:r>
          </w:p>
        </w:tc>
        <w:tc>
          <w:tcPr>
            <w:tcW w:type="dxa" w:w="1728"/>
          </w:tcPr>
          <w:p>
            <w:r>
              <w:rPr>
                <w:sz w:val="18"/>
              </w:rPr>
              <w:t>21,3 %</w:t>
            </w:r>
          </w:p>
        </w:tc>
      </w:tr>
      <w:tr>
        <w:tc>
          <w:tcPr>
            <w:tcW w:type="dxa" w:w="1728"/>
          </w:tcPr>
          <w:p>
            <w:r>
              <w:rPr>
                <w:sz w:val="18"/>
              </w:rPr>
              <w:t>Mar 11 vs 18</w:t>
            </w:r>
          </w:p>
        </w:tc>
        <w:tc>
          <w:tcPr>
            <w:tcW w:type="dxa" w:w="1728"/>
          </w:tcPr>
          <w:p>
            <w:r>
              <w:rPr>
                <w:sz w:val="18"/>
              </w:rPr>
              <w:t>6,9</w:t>
            </w:r>
          </w:p>
        </w:tc>
        <w:tc>
          <w:tcPr>
            <w:tcW w:type="dxa" w:w="1728"/>
          </w:tcPr>
          <w:p>
            <w:r>
              <w:rPr>
                <w:sz w:val="18"/>
              </w:rPr>
              <w:t>5,6</w:t>
            </w:r>
          </w:p>
        </w:tc>
        <w:tc>
          <w:tcPr>
            <w:tcW w:type="dxa" w:w="1728"/>
          </w:tcPr>
          <w:p>
            <w:r>
              <w:rPr>
                <w:sz w:val="18"/>
              </w:rPr>
              <w:t>-1,3</w:t>
            </w:r>
          </w:p>
        </w:tc>
        <w:tc>
          <w:tcPr>
            <w:tcW w:type="dxa" w:w="1728"/>
          </w:tcPr>
          <w:p>
            <w:r>
              <w:rPr>
                <w:sz w:val="18"/>
              </w:rPr>
              <w:t>-23,9 %</w:t>
            </w:r>
          </w:p>
        </w:tc>
      </w:tr>
      <w:tr>
        <w:tc>
          <w:tcPr>
            <w:tcW w:type="dxa" w:w="1728"/>
          </w:tcPr>
          <w:p>
            <w:r>
              <w:rPr>
                <w:sz w:val="18"/>
              </w:rPr>
              <w:t>Mié 12 vs 19</w:t>
            </w:r>
          </w:p>
        </w:tc>
        <w:tc>
          <w:tcPr>
            <w:tcW w:type="dxa" w:w="1728"/>
          </w:tcPr>
          <w:p>
            <w:r>
              <w:rPr>
                <w:sz w:val="18"/>
              </w:rPr>
              <w:t>6,7</w:t>
            </w:r>
          </w:p>
        </w:tc>
        <w:tc>
          <w:tcPr>
            <w:tcW w:type="dxa" w:w="1728"/>
          </w:tcPr>
          <w:p>
            <w:r>
              <w:rPr>
                <w:sz w:val="18"/>
              </w:rPr>
              <w:t>3,6</w:t>
            </w:r>
          </w:p>
        </w:tc>
        <w:tc>
          <w:tcPr>
            <w:tcW w:type="dxa" w:w="1728"/>
          </w:tcPr>
          <w:p>
            <w:r>
              <w:rPr>
                <w:sz w:val="18"/>
              </w:rPr>
              <w:t>-3,1</w:t>
            </w:r>
          </w:p>
        </w:tc>
        <w:tc>
          <w:tcPr>
            <w:tcW w:type="dxa" w:w="1728"/>
          </w:tcPr>
          <w:p>
            <w:r>
              <w:rPr>
                <w:sz w:val="18"/>
              </w:rPr>
              <w:t>-87,7 %</w:t>
            </w:r>
          </w:p>
        </w:tc>
      </w:tr>
      <w:tr>
        <w:tc>
          <w:tcPr>
            <w:tcW w:type="dxa" w:w="1728"/>
          </w:tcPr>
          <w:p>
            <w:r>
              <w:rPr>
                <w:sz w:val="18"/>
              </w:rPr>
              <w:t>Jue 13 vs 20</w:t>
            </w:r>
          </w:p>
        </w:tc>
        <w:tc>
          <w:tcPr>
            <w:tcW w:type="dxa" w:w="1728"/>
          </w:tcPr>
          <w:p>
            <w:r>
              <w:rPr>
                <w:sz w:val="18"/>
              </w:rPr>
              <w:t>10</w:t>
            </w:r>
          </w:p>
        </w:tc>
        <w:tc>
          <w:tcPr>
            <w:tcW w:type="dxa" w:w="1728"/>
          </w:tcPr>
          <w:p>
            <w:r>
              <w:rPr>
                <w:sz w:val="18"/>
              </w:rPr>
              <w:t>3,4</w:t>
            </w:r>
          </w:p>
        </w:tc>
        <w:tc>
          <w:tcPr>
            <w:tcW w:type="dxa" w:w="1728"/>
          </w:tcPr>
          <w:p>
            <w:r>
              <w:rPr>
                <w:sz w:val="18"/>
              </w:rPr>
              <w:t>-6,6</w:t>
            </w:r>
          </w:p>
        </w:tc>
        <w:tc>
          <w:tcPr>
            <w:tcW w:type="dxa" w:w="1728"/>
          </w:tcPr>
          <w:p>
            <w:r>
              <w:rPr>
                <w:sz w:val="18"/>
              </w:rPr>
              <w:t>-193,3 %</w:t>
            </w:r>
          </w:p>
        </w:tc>
      </w:tr>
      <w:tr>
        <w:tc>
          <w:tcPr>
            <w:tcW w:type="dxa" w:w="1728"/>
          </w:tcPr>
          <w:p>
            <w:r>
              <w:rPr>
                <w:sz w:val="18"/>
              </w:rPr>
              <w:t>Vie 14 vs 21 (00:00–10:59)</w:t>
            </w:r>
          </w:p>
        </w:tc>
        <w:tc>
          <w:tcPr>
            <w:tcW w:type="dxa" w:w="1728"/>
          </w:tcPr>
          <w:p>
            <w:r>
              <w:rPr>
                <w:sz w:val="18"/>
              </w:rPr>
              <w:t>5,7</w:t>
            </w:r>
          </w:p>
        </w:tc>
        <w:tc>
          <w:tcPr>
            <w:tcW w:type="dxa" w:w="1728"/>
          </w:tcPr>
          <w:p>
            <w:r>
              <w:rPr>
                <w:sz w:val="18"/>
              </w:rPr>
              <w:t>1,6</w:t>
            </w:r>
          </w:p>
        </w:tc>
        <w:tc>
          <w:tcPr>
            <w:tcW w:type="dxa" w:w="1728"/>
          </w:tcPr>
          <w:p>
            <w:r>
              <w:rPr>
                <w:sz w:val="18"/>
              </w:rPr>
              <w:t>-4,1</w:t>
            </w:r>
          </w:p>
        </w:tc>
        <w:tc>
          <w:tcPr>
            <w:tcW w:type="dxa" w:w="1728"/>
          </w:tcPr>
          <w:p>
            <w:r>
              <w:rPr>
                <w:sz w:val="18"/>
              </w:rPr>
              <w:t>-256,5 %</w:t>
            </w:r>
          </w:p>
        </w:tc>
      </w:tr>
    </w:tbl>
    <w:p>
      <w:pPr>
        <w:pStyle w:val="Heading1"/>
      </w:pPr>
      <w:r>
        <w:t>Piscina municipal</w:t>
      </w:r>
    </w:p>
    <w:p>
      <w:r>
        <w:t>Con WES 132,6 m³ vs Sin WES 257,2 m³ → 48,5 % (124,7 m³).</w:t>
      </w:r>
    </w:p>
    <w:p>
      <w:r>
        <w:drawing>
          <wp:inline xmlns:a="http://schemas.openxmlformats.org/drawingml/2006/main" xmlns:pic="http://schemas.openxmlformats.org/drawingml/2006/picture">
            <wp:extent cx="4500000" cy="3197483"/>
            <wp:docPr id="24" name="Picture 24"/>
            <wp:cNvGraphicFramePr>
              <a:graphicFrameLocks noChangeAspect="1"/>
            </wp:cNvGraphicFramePr>
            <a:graphic>
              <a:graphicData uri="http://schemas.openxmlformats.org/drawingml/2006/picture">
                <pic:pic>
                  <pic:nvPicPr>
                    <pic:cNvPr id="0" name="02_barras_total_rejilla_por_periodo.png"/>
                    <pic:cNvPicPr/>
                  </pic:nvPicPr>
                  <pic:blipFill>
                    <a:blip r:embed="rId33"/>
                    <a:stretch>
                      <a:fillRect/>
                    </a:stretch>
                  </pic:blipFill>
                  <pic:spPr>
                    <a:xfrm>
                      <a:off x="0" y="0"/>
                      <a:ext cx="4500000" cy="3197483"/>
                    </a:xfrm>
                    <a:prstGeom prst="rect"/>
                  </pic:spPr>
                </pic:pic>
              </a:graphicData>
            </a:graphic>
          </wp:inline>
        </w:drawing>
      </w:r>
    </w:p>
    <w:p>
      <w:r>
        <w:drawing>
          <wp:inline xmlns:a="http://schemas.openxmlformats.org/drawingml/2006/main" xmlns:pic="http://schemas.openxmlformats.org/drawingml/2006/picture">
            <wp:extent cx="5760000" cy="2857101"/>
            <wp:docPr id="25" name="Picture 25"/>
            <wp:cNvGraphicFramePr>
              <a:graphicFrameLocks noChangeAspect="1"/>
            </wp:cNvGraphicFramePr>
            <a:graphic>
              <a:graphicData uri="http://schemas.openxmlformats.org/drawingml/2006/picture">
                <pic:pic>
                  <pic:nvPicPr>
                    <pic:cNvPr id="0" name="04_area_Lunes.png"/>
                    <pic:cNvPicPr/>
                  </pic:nvPicPr>
                  <pic:blipFill>
                    <a:blip r:embed="rId3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6" name="Picture 26"/>
            <wp:cNvGraphicFramePr>
              <a:graphicFrameLocks noChangeAspect="1"/>
            </wp:cNvGraphicFramePr>
            <a:graphic>
              <a:graphicData uri="http://schemas.openxmlformats.org/drawingml/2006/picture">
                <pic:pic>
                  <pic:nvPicPr>
                    <pic:cNvPr id="0" name="05_area_Martes.png"/>
                    <pic:cNvPicPr/>
                  </pic:nvPicPr>
                  <pic:blipFill>
                    <a:blip r:embed="rId35"/>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7" name="Picture 27"/>
            <wp:cNvGraphicFramePr>
              <a:graphicFrameLocks noChangeAspect="1"/>
            </wp:cNvGraphicFramePr>
            <a:graphic>
              <a:graphicData uri="http://schemas.openxmlformats.org/drawingml/2006/picture">
                <pic:pic>
                  <pic:nvPicPr>
                    <pic:cNvPr id="0" name="06_area_Miercoles.png"/>
                    <pic:cNvPicPr/>
                  </pic:nvPicPr>
                  <pic:blipFill>
                    <a:blip r:embed="rId36"/>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8" name="Picture 28"/>
            <wp:cNvGraphicFramePr>
              <a:graphicFrameLocks noChangeAspect="1"/>
            </wp:cNvGraphicFramePr>
            <a:graphic>
              <a:graphicData uri="http://schemas.openxmlformats.org/drawingml/2006/picture">
                <pic:pic>
                  <pic:nvPicPr>
                    <pic:cNvPr id="0" name="07_area_Jueves.png"/>
                    <pic:cNvPicPr/>
                  </pic:nvPicPr>
                  <pic:blipFill>
                    <a:blip r:embed="rId3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9" name="Picture 29"/>
            <wp:cNvGraphicFramePr>
              <a:graphicFrameLocks noChangeAspect="1"/>
            </wp:cNvGraphicFramePr>
            <a:graphic>
              <a:graphicData uri="http://schemas.openxmlformats.org/drawingml/2006/picture">
                <pic:pic>
                  <pic:nvPicPr>
                    <pic:cNvPr id="0" name="08_area_Viernes.png"/>
                    <pic:cNvPicPr/>
                  </pic:nvPicPr>
                  <pic:blipFill>
                    <a:blip r:embed="rId38"/>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30" name="Picture 30"/>
            <wp:cNvGraphicFramePr>
              <a:graphicFrameLocks noChangeAspect="1"/>
            </wp:cNvGraphicFramePr>
            <a:graphic>
              <a:graphicData uri="http://schemas.openxmlformats.org/drawingml/2006/picture">
                <pic:pic>
                  <pic:nvPicPr>
                    <pic:cNvPr id="0" name="03_area_promedio_24h.png"/>
                    <pic:cNvPicPr/>
                  </pic:nvPicPr>
                  <pic:blipFill>
                    <a:blip r:embed="rId39"/>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31,1</w:t>
            </w:r>
          </w:p>
        </w:tc>
        <w:tc>
          <w:tcPr>
            <w:tcW w:type="dxa" w:w="1728"/>
          </w:tcPr>
          <w:p>
            <w:r>
              <w:rPr>
                <w:sz w:val="18"/>
              </w:rPr>
              <w:t>56,1</w:t>
            </w:r>
          </w:p>
        </w:tc>
        <w:tc>
          <w:tcPr>
            <w:tcW w:type="dxa" w:w="1728"/>
          </w:tcPr>
          <w:p>
            <w:r>
              <w:rPr>
                <w:sz w:val="18"/>
              </w:rPr>
              <w:t>25,1</w:t>
            </w:r>
          </w:p>
        </w:tc>
        <w:tc>
          <w:tcPr>
            <w:tcW w:type="dxa" w:w="1728"/>
          </w:tcPr>
          <w:p>
            <w:r>
              <w:rPr>
                <w:sz w:val="18"/>
              </w:rPr>
              <w:t>44,7 %</w:t>
            </w:r>
          </w:p>
        </w:tc>
      </w:tr>
      <w:tr>
        <w:tc>
          <w:tcPr>
            <w:tcW w:type="dxa" w:w="1728"/>
          </w:tcPr>
          <w:p>
            <w:r>
              <w:rPr>
                <w:sz w:val="18"/>
              </w:rPr>
              <w:t>Mar 11 vs 18</w:t>
            </w:r>
          </w:p>
        </w:tc>
        <w:tc>
          <w:tcPr>
            <w:tcW w:type="dxa" w:w="1728"/>
          </w:tcPr>
          <w:p>
            <w:r>
              <w:rPr>
                <w:sz w:val="18"/>
              </w:rPr>
              <w:t>31,4</w:t>
            </w:r>
          </w:p>
        </w:tc>
        <w:tc>
          <w:tcPr>
            <w:tcW w:type="dxa" w:w="1728"/>
          </w:tcPr>
          <w:p>
            <w:r>
              <w:rPr>
                <w:sz w:val="18"/>
              </w:rPr>
              <w:t>58,5</w:t>
            </w:r>
          </w:p>
        </w:tc>
        <w:tc>
          <w:tcPr>
            <w:tcW w:type="dxa" w:w="1728"/>
          </w:tcPr>
          <w:p>
            <w:r>
              <w:rPr>
                <w:sz w:val="18"/>
              </w:rPr>
              <w:t>27,1</w:t>
            </w:r>
          </w:p>
        </w:tc>
        <w:tc>
          <w:tcPr>
            <w:tcW w:type="dxa" w:w="1728"/>
          </w:tcPr>
          <w:p>
            <w:r>
              <w:rPr>
                <w:sz w:val="18"/>
              </w:rPr>
              <w:t>46,3 %</w:t>
            </w:r>
          </w:p>
        </w:tc>
      </w:tr>
      <w:tr>
        <w:tc>
          <w:tcPr>
            <w:tcW w:type="dxa" w:w="1728"/>
          </w:tcPr>
          <w:p>
            <w:r>
              <w:rPr>
                <w:sz w:val="18"/>
              </w:rPr>
              <w:t>Mié 12 vs 19</w:t>
            </w:r>
          </w:p>
        </w:tc>
        <w:tc>
          <w:tcPr>
            <w:tcW w:type="dxa" w:w="1728"/>
          </w:tcPr>
          <w:p>
            <w:r>
              <w:rPr>
                <w:sz w:val="18"/>
              </w:rPr>
              <w:t>31,1</w:t>
            </w:r>
          </w:p>
        </w:tc>
        <w:tc>
          <w:tcPr>
            <w:tcW w:type="dxa" w:w="1728"/>
          </w:tcPr>
          <w:p>
            <w:r>
              <w:rPr>
                <w:sz w:val="18"/>
              </w:rPr>
              <w:t>58,4</w:t>
            </w:r>
          </w:p>
        </w:tc>
        <w:tc>
          <w:tcPr>
            <w:tcW w:type="dxa" w:w="1728"/>
          </w:tcPr>
          <w:p>
            <w:r>
              <w:rPr>
                <w:sz w:val="18"/>
              </w:rPr>
              <w:t>27,2</w:t>
            </w:r>
          </w:p>
        </w:tc>
        <w:tc>
          <w:tcPr>
            <w:tcW w:type="dxa" w:w="1728"/>
          </w:tcPr>
          <w:p>
            <w:r>
              <w:rPr>
                <w:sz w:val="18"/>
              </w:rPr>
              <w:t>46,7 %</w:t>
            </w:r>
          </w:p>
        </w:tc>
      </w:tr>
      <w:tr>
        <w:tc>
          <w:tcPr>
            <w:tcW w:type="dxa" w:w="1728"/>
          </w:tcPr>
          <w:p>
            <w:r>
              <w:rPr>
                <w:sz w:val="18"/>
              </w:rPr>
              <w:t>Jue 13 vs 20</w:t>
            </w:r>
          </w:p>
        </w:tc>
        <w:tc>
          <w:tcPr>
            <w:tcW w:type="dxa" w:w="1728"/>
          </w:tcPr>
          <w:p>
            <w:r>
              <w:rPr>
                <w:sz w:val="18"/>
              </w:rPr>
              <w:t>31,4</w:t>
            </w:r>
          </w:p>
        </w:tc>
        <w:tc>
          <w:tcPr>
            <w:tcW w:type="dxa" w:w="1728"/>
          </w:tcPr>
          <w:p>
            <w:r>
              <w:rPr>
                <w:sz w:val="18"/>
              </w:rPr>
              <w:t>58,3</w:t>
            </w:r>
          </w:p>
        </w:tc>
        <w:tc>
          <w:tcPr>
            <w:tcW w:type="dxa" w:w="1728"/>
          </w:tcPr>
          <w:p>
            <w:r>
              <w:rPr>
                <w:sz w:val="18"/>
              </w:rPr>
              <w:t>27</w:t>
            </w:r>
          </w:p>
        </w:tc>
        <w:tc>
          <w:tcPr>
            <w:tcW w:type="dxa" w:w="1728"/>
          </w:tcPr>
          <w:p>
            <w:r>
              <w:rPr>
                <w:sz w:val="18"/>
              </w:rPr>
              <w:t>46,3 %</w:t>
            </w:r>
          </w:p>
        </w:tc>
      </w:tr>
      <w:tr>
        <w:tc>
          <w:tcPr>
            <w:tcW w:type="dxa" w:w="1728"/>
          </w:tcPr>
          <w:p>
            <w:r>
              <w:rPr>
                <w:sz w:val="18"/>
              </w:rPr>
              <w:t>Vie 14 vs 21 (00:00–10:59)</w:t>
            </w:r>
          </w:p>
        </w:tc>
        <w:tc>
          <w:tcPr>
            <w:tcW w:type="dxa" w:w="1728"/>
          </w:tcPr>
          <w:p>
            <w:r>
              <w:rPr>
                <w:sz w:val="18"/>
              </w:rPr>
              <w:t>7,5</w:t>
            </w:r>
          </w:p>
        </w:tc>
        <w:tc>
          <w:tcPr>
            <w:tcW w:type="dxa" w:w="1728"/>
          </w:tcPr>
          <w:p>
            <w:r>
              <w:rPr>
                <w:sz w:val="18"/>
              </w:rPr>
              <w:t>25,8</w:t>
            </w:r>
          </w:p>
        </w:tc>
        <w:tc>
          <w:tcPr>
            <w:tcW w:type="dxa" w:w="1728"/>
          </w:tcPr>
          <w:p>
            <w:r>
              <w:rPr>
                <w:sz w:val="18"/>
              </w:rPr>
              <w:t>18,3</w:t>
            </w:r>
          </w:p>
        </w:tc>
        <w:tc>
          <w:tcPr>
            <w:tcW w:type="dxa" w:w="1728"/>
          </w:tcPr>
          <w:p>
            <w:r>
              <w:rPr>
                <w:sz w:val="18"/>
              </w:rPr>
              <w:t>70,8 %</w:t>
            </w:r>
          </w:p>
        </w:tc>
      </w:tr>
    </w:tbl>
    <w:p>
      <w:pPr>
        <w:pStyle w:val="Heading1"/>
      </w:pPr>
      <w:r>
        <w:t>Conclusiones</w:t>
      </w:r>
    </w:p>
    <w:p>
      <w:r>
        <w:t>La comparación es homóloga: misma estación, mismos días de la semana y la última semana con control WES contra esta semana sin control. El aumento de volumen se concentra en ICCP (Cumbre de Cóndores pte.), Piscina municipal. En Esc. Lo Velásquez, Gimnasio municipal el periodo sin WES no gasta más que la semana con control.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