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Informe de Auditoría</w:t>
      </w:r>
    </w:p>
    <w:p>
      <w:pPr>
        <w:spacing w:before="40" w:after="160"/>
        <w:jc w:val="center"/>
      </w:pPr>
      <w:r>
        <w:rPr>
          <w:rFonts w:ascii="Calibri" w:hAnsi="Calibri"/>
          <w:i/>
          <w:color w:val="5A5A5A"/>
          <w:sz w:val="20"/>
        </w:rPr>
        <w:t>Auditoria_Gimnasio_municipal_000017-05</w:t>
      </w:r>
    </w:p>
    <w:p>
      <w:pPr>
        <w:spacing w:after="80"/>
        <w:jc w:val="center"/>
      </w:pPr>
      <w:r>
        <w:rPr>
          <w:rFonts w:ascii="Calibri" w:hAnsi="Calibri"/>
          <w:b/>
          <w:color w:val="1F4788"/>
          <w:sz w:val="34"/>
        </w:rPr>
        <w:t>Gimnasio municipal</w:t>
      </w:r>
      <w:r>
        <w:br/>
      </w:r>
      <w:r>
        <w:rPr>
          <w:rFonts w:ascii="Calibri" w:hAnsi="Calibri"/>
          <w:b/>
          <w:color w:val="1F4788"/>
          <w:sz w:val="34"/>
        </w:rPr>
        <w:t>000017-05</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5 días cada uno: con control hidráulico activo entre el 10 y el 14 de agosto de 2026 y con control desactivado entre el 17 y el 21 de agosto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Gimnasio municipal, punto de medición WES 000017-05 (Gimnasio municipal), las series se construyen además en rejilla horaria a partir de datos de la plataforma en zona horaria Chile, para el periodo con control (10-08-2026 al 14-08-2026) y el periodo sin control (17-08-2026 al 21-08-2026), en jornada completa 00:00 a 24:00 (una lectura por hora; fin de intervalo exclusivo). Si una hora no tiene dato, se asume 0 m³/h para mantener una grilla comparable (120 intervalos: 5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3375321"/>
            <wp:docPr id="1" name="Picture 1"/>
            <wp:cNvGraphicFramePr>
              <a:graphicFrameLocks noChangeAspect="1"/>
            </wp:cNvGraphicFramePr>
            <a:graphic>
              <a:graphicData uri="http://schemas.openxmlformats.org/drawingml/2006/picture">
                <pic:pic>
                  <pic:nvPicPr>
                    <pic:cNvPr id="0" name="02_barras_total_rejilla_por_periodo.png"/>
                    <pic:cNvPicPr/>
                  </pic:nvPicPr>
                  <pic:blipFill>
                    <a:blip r:embed="rId27"/>
                    <a:stretch>
                      <a:fillRect/>
                    </a:stretch>
                  </pic:blipFill>
                  <pic:spPr>
                    <a:xfrm>
                      <a:off x="0" y="0"/>
                      <a:ext cx="4754880" cy="3375321"/>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10 al 14 agosto 2026</w:t>
            </w:r>
          </w:p>
        </w:tc>
        <w:tc>
          <w:tcPr>
            <w:tcW w:type="dxa" w:w="2362"/>
            <w:shd w:val="clear" w:fill="FFFFFF"/>
          </w:tcPr>
          <w:p>
            <w:pPr>
              <w:jc w:val="left"/>
            </w:pPr>
            <w:r>
              <w:rPr>
                <w:b w:val="0"/>
                <w:color w:val="000000"/>
              </w:rPr>
              <w:t>36,3</w:t>
            </w:r>
          </w:p>
        </w:tc>
        <w:tc>
          <w:tcPr>
            <w:tcW w:type="dxa" w:w="2362"/>
            <w:shd w:val="clear" w:fill="FFFFFF"/>
          </w:tcPr>
          <w:p>
            <w:pPr>
              <w:jc w:val="left"/>
            </w:pPr>
            <w:r>
              <w:rPr>
                <w:b w:val="0"/>
                <w:color w:val="000000"/>
              </w:rPr>
              <w:t>7,26</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17 al 21 agosto 2026</w:t>
            </w:r>
          </w:p>
        </w:tc>
        <w:tc>
          <w:tcPr>
            <w:tcW w:type="dxa" w:w="2362"/>
            <w:shd w:val="clear" w:fill="FFFFFF"/>
          </w:tcPr>
          <w:p>
            <w:pPr>
              <w:jc w:val="left"/>
            </w:pPr>
            <w:r>
              <w:rPr>
                <w:b w:val="0"/>
                <w:color w:val="000000"/>
              </w:rPr>
              <w:t>22,37</w:t>
            </w:r>
          </w:p>
        </w:tc>
        <w:tc>
          <w:tcPr>
            <w:tcW w:type="dxa" w:w="2362"/>
            <w:shd w:val="clear" w:fill="FFFFFF"/>
          </w:tcPr>
          <w:p>
            <w:pPr>
              <w:jc w:val="left"/>
            </w:pPr>
            <w:r>
              <w:rPr>
                <w:b w:val="0"/>
                <w:color w:val="000000"/>
              </w:rPr>
              <w:t>4,474</w:t>
            </w:r>
          </w:p>
        </w:tc>
      </w:tr>
    </w:tbl>
    <w:p>
      <w:pPr>
        <w:spacing w:after="120"/>
      </w:pPr>
    </w:p>
    <w:p>
      <w:pPr>
        <w:keepNext w:val="0"/>
        <w:widowControl/>
        <w:jc w:val="both"/>
      </w:pPr>
      <w:r>
        <w:t>Métricas y serie horaria (jornada completa) exportadas: cpa_icco_renca_borrador_000017-05.csv.</w:t>
      </w: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(10 al 14 agosto 2026)</w:t>
            </w:r>
          </w:p>
        </w:tc>
        <w:tc>
          <w:tcPr>
            <w:tcW w:type="dxa" w:w="4725"/>
          </w:tcPr>
          <w:p>
            <w:pPr>
              <w:jc w:val="left"/>
            </w:pPr>
            <w:r>
              <w:rPr>
                <w:b w:val="0"/>
                <w:color w:val="000000"/>
              </w:rPr>
              <w:t>7.26 m3/dia</w:t>
            </w:r>
          </w:p>
        </w:tc>
      </w:tr>
      <w:tr>
        <w:tc>
          <w:tcPr>
            <w:tcW w:type="dxa" w:w="4725"/>
          </w:tcPr>
          <w:p>
            <w:pPr>
              <w:jc w:val="left"/>
            </w:pPr>
            <w:r>
              <w:rPr>
                <w:b/>
                <w:color w:val="000000"/>
              </w:rPr>
              <w:t>Promedio diario con control desactivado (17 al 21 agosto 2026)</w:t>
            </w:r>
          </w:p>
        </w:tc>
        <w:tc>
          <w:tcPr>
            <w:tcW w:type="dxa" w:w="4725"/>
          </w:tcPr>
          <w:p>
            <w:pPr>
              <w:jc w:val="left"/>
            </w:pPr>
            <w:r>
              <w:rPr>
                <w:b w:val="0"/>
                <w:color w:val="000000"/>
              </w:rPr>
              <w:t>4.47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0.00 m3/dia</w:t>
            </w:r>
          </w:p>
        </w:tc>
      </w:tr>
      <w:tr>
        <w:tc>
          <w:tcPr>
            <w:tcW w:type="dxa" w:w="4725"/>
          </w:tcPr>
          <w:p>
            <w:pPr>
              <w:jc w:val="left"/>
            </w:pPr>
            <w:r>
              <w:rPr>
                <w:b/>
                <w:color w:val="000000"/>
              </w:rPr>
              <w:t>Ahorro porcentual</w:t>
            </w:r>
          </w:p>
        </w:tc>
        <w:tc>
          <w:tcPr>
            <w:tcW w:type="dxa" w:w="4725"/>
          </w:tcPr>
          <w:p>
            <w:pPr>
              <w:jc w:val="left"/>
            </w:pPr>
            <w:r>
              <w:rPr>
                <w:b w:val="0"/>
                <w:color w:val="000000"/>
              </w:rPr>
              <w:t>0.00%</w:t>
            </w:r>
          </w:p>
        </w:tc>
      </w:tr>
      <w:tr>
        <w:tc>
          <w:tcPr>
            <w:tcW w:type="dxa" w:w="4725"/>
          </w:tcPr>
          <w:p>
            <w:pPr>
              <w:jc w:val="left"/>
            </w:pPr>
            <w:r>
              <w:rPr>
                <w:b/>
                <w:color w:val="000000"/>
              </w:rPr>
              <w:t>Diferencia neta (desactivado - activo)</w:t>
            </w:r>
          </w:p>
        </w:tc>
        <w:tc>
          <w:tcPr>
            <w:tcW w:type="dxa" w:w="4725"/>
          </w:tcPr>
          <w:p>
            <w:pPr>
              <w:jc w:val="left"/>
            </w:pPr>
            <w:r>
              <w:rPr>
                <w:b w:val="0"/>
                <w:color w:val="000000"/>
              </w:rPr>
              <w:t>0.00 m3/dia</w:t>
            </w:r>
          </w:p>
        </w:tc>
      </w:tr>
    </w:tbl>
    <w:p>
      <w:pPr>
        <w:spacing w:after="160"/>
      </w:pPr>
    </w:p>
    <w:p>
      <w:pPr>
        <w:keepNext w:val="0"/>
        <w:widowControl/>
        <w:jc w:val="both"/>
      </w:pPr>
      <w:r>
        <w:t>En la rejilla (5 días, 00:00–24:00), Con WES 36,3 m³ y Sin WES 22,37 m³ (mayor Σ en Con WES en 13,93 m³). Detalle en Registros de consumos.</w:t>
      </w:r>
    </w:p>
    <w:p/>
    <w:p>
      <w:pPr>
        <w:jc w:val="center"/>
      </w:pPr>
      <w:r>
        <w:t>Ahorro sobre Sin WES: no aplica en este tramo.</w:t>
      </w:r>
    </w:p>
    <w:p/>
    <w:p>
      <w:pPr>
        <w:jc w:val="center"/>
      </w:pPr>
      <w:r>
        <w:rPr>
          <w:color w:val="646464"/>
          <w:sz w:val="18"/>
        </w:rPr>
        <w:t>Documento generado automáticamente — 21-08-2026 16:23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