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Auditoria_ICCP_(Cumbre_de_Cóndores_pte.)_000017-07</w:t>
      </w:r>
    </w:p>
    <w:p>
      <w:pPr>
        <w:spacing w:after="80"/>
        <w:jc w:val="center"/>
      </w:pPr>
      <w:r>
        <w:rPr>
          <w:rFonts w:ascii="Calibri" w:hAnsi="Calibri"/>
          <w:b/>
          <w:color w:val="1F4788"/>
          <w:sz w:val="34"/>
        </w:rPr>
        <w:t>ICCP (Cumbre de Cóndores pte.)</w:t>
      </w:r>
      <w:r>
        <w:br/>
      </w:r>
      <w:r>
        <w:rPr>
          <w:rFonts w:ascii="Calibri" w:hAnsi="Calibri"/>
          <w:b/>
          <w:color w:val="1F4788"/>
          <w:sz w:val="34"/>
        </w:rPr>
        <w:t>000017-07</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10 y el 14 de agosto de 2026 y con control desactivado entre el 17 y el 21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ICCP (Cumbre de Cóndores pte.), punto de medición WES 000017-07 (ICCP (Cumbre de Cóndores pte.)), las series se construyen además en rejilla horaria a partir de datos de la plataforma en zona horaria Chile, para el periodo con control (10-08-2026 al 14-08-2026) y el periodo sin control (17-08-2026 al 21-08-2026),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8588"/>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8588"/>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14 agosto 2026</w:t>
            </w:r>
          </w:p>
        </w:tc>
        <w:tc>
          <w:tcPr>
            <w:tcW w:type="dxa" w:w="2362"/>
            <w:shd w:val="clear" w:fill="FFFFFF"/>
          </w:tcPr>
          <w:p>
            <w:pPr>
              <w:jc w:val="left"/>
            </w:pPr>
            <w:r>
              <w:rPr>
                <w:b w:val="0"/>
                <w:color w:val="000000"/>
              </w:rPr>
              <w:t>63,3</w:t>
            </w:r>
          </w:p>
        </w:tc>
        <w:tc>
          <w:tcPr>
            <w:tcW w:type="dxa" w:w="2362"/>
            <w:shd w:val="clear" w:fill="FFFFFF"/>
          </w:tcPr>
          <w:p>
            <w:pPr>
              <w:jc w:val="left"/>
            </w:pPr>
            <w:r>
              <w:rPr>
                <w:b w:val="0"/>
                <w:color w:val="000000"/>
              </w:rPr>
              <w:t>12,66</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21 agosto 2026</w:t>
            </w:r>
          </w:p>
        </w:tc>
        <w:tc>
          <w:tcPr>
            <w:tcW w:type="dxa" w:w="2362"/>
            <w:shd w:val="clear" w:fill="FFFFFF"/>
          </w:tcPr>
          <w:p>
            <w:pPr>
              <w:jc w:val="left"/>
            </w:pPr>
            <w:r>
              <w:rPr>
                <w:b w:val="0"/>
                <w:color w:val="000000"/>
              </w:rPr>
              <w:t>121,6</w:t>
            </w:r>
          </w:p>
        </w:tc>
        <w:tc>
          <w:tcPr>
            <w:tcW w:type="dxa" w:w="2362"/>
            <w:shd w:val="clear" w:fill="FFFFFF"/>
          </w:tcPr>
          <w:p>
            <w:pPr>
              <w:jc w:val="left"/>
            </w:pPr>
            <w:r>
              <w:rPr>
                <w:b w:val="0"/>
                <w:color w:val="000000"/>
              </w:rPr>
              <w:t>24,32</w:t>
            </w:r>
          </w:p>
        </w:tc>
      </w:tr>
    </w:tbl>
    <w:p>
      <w:pPr>
        <w:spacing w:after="120"/>
      </w:pPr>
    </w:p>
    <w:p>
      <w:pPr>
        <w:keepNext w:val="0"/>
        <w:widowControl/>
        <w:jc w:val="both"/>
      </w:pPr>
      <w:r>
        <w:t>Métricas y serie horaria (jornada completa) exportadas: cpa_icco_renca_borrador_000017-07.csv.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14 agosto 2026)</w:t>
            </w:r>
          </w:p>
        </w:tc>
        <w:tc>
          <w:tcPr>
            <w:tcW w:type="dxa" w:w="4725"/>
          </w:tcPr>
          <w:p>
            <w:pPr>
              <w:jc w:val="left"/>
            </w:pPr>
            <w:r>
              <w:rPr>
                <w:b w:val="0"/>
                <w:color w:val="000000"/>
              </w:rPr>
              <w:t>12.66 m3/dia</w:t>
            </w:r>
          </w:p>
        </w:tc>
      </w:tr>
      <w:tr>
        <w:tc>
          <w:tcPr>
            <w:tcW w:type="dxa" w:w="4725"/>
          </w:tcPr>
          <w:p>
            <w:pPr>
              <w:jc w:val="left"/>
            </w:pPr>
            <w:r>
              <w:rPr>
                <w:b/>
                <w:color w:val="000000"/>
              </w:rPr>
              <w:t>Promedio diario con control desactivado (17 al 21 agosto 2026)</w:t>
            </w:r>
          </w:p>
        </w:tc>
        <w:tc>
          <w:tcPr>
            <w:tcW w:type="dxa" w:w="4725"/>
          </w:tcPr>
          <w:p>
            <w:pPr>
              <w:jc w:val="left"/>
            </w:pPr>
            <w:r>
              <w:rPr>
                <w:b w:val="0"/>
                <w:color w:val="000000"/>
              </w:rPr>
              <w:t>24.32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11.66 m3/dia</w:t>
            </w:r>
          </w:p>
        </w:tc>
      </w:tr>
      <w:tr>
        <w:tc>
          <w:tcPr>
            <w:tcW w:type="dxa" w:w="4725"/>
          </w:tcPr>
          <w:p>
            <w:pPr>
              <w:jc w:val="left"/>
            </w:pPr>
            <w:r>
              <w:rPr>
                <w:b/>
                <w:color w:val="000000"/>
              </w:rPr>
              <w:t>Ahorro porcentual</w:t>
            </w:r>
          </w:p>
        </w:tc>
        <w:tc>
          <w:tcPr>
            <w:tcW w:type="dxa" w:w="4725"/>
          </w:tcPr>
          <w:p>
            <w:pPr>
              <w:jc w:val="left"/>
            </w:pPr>
            <w:r>
              <w:rPr>
                <w:b w:val="0"/>
                <w:color w:val="000000"/>
              </w:rPr>
              <w:t>47.94%</w:t>
            </w:r>
          </w:p>
        </w:tc>
      </w:tr>
      <w:tr>
        <w:tc>
          <w:tcPr>
            <w:tcW w:type="dxa" w:w="4725"/>
          </w:tcPr>
          <w:p>
            <w:pPr>
              <w:jc w:val="left"/>
            </w:pPr>
            <w:r>
              <w:rPr>
                <w:b/>
                <w:color w:val="000000"/>
              </w:rPr>
              <w:t>Diferencia neta (desactivado - activo)</w:t>
            </w:r>
          </w:p>
        </w:tc>
        <w:tc>
          <w:tcPr>
            <w:tcW w:type="dxa" w:w="4725"/>
          </w:tcPr>
          <w:p>
            <w:pPr>
              <w:jc w:val="left"/>
            </w:pPr>
            <w:r>
              <w:rPr>
                <w:b w:val="0"/>
                <w:color w:val="000000"/>
              </w:rPr>
              <w:t>11.66 m3/dia</w:t>
            </w:r>
          </w:p>
        </w:tc>
      </w:tr>
    </w:tbl>
    <w:p>
      <w:pPr>
        <w:spacing w:after="160"/>
      </w:pPr>
    </w:p>
    <w:p>
      <w:pPr>
        <w:keepNext w:val="0"/>
        <w:widowControl/>
        <w:jc w:val="both"/>
      </w:pPr>
      <w:r>
        <w:t>En la rejilla analizada (5 días, 00:00–24:00), Con WES 63,3 m³ y Sin WES 121,6 m³; volumen evitado respecto de Sin WES: 58,3 m³ (~75.790 CLP a 1.300 CLP/m³, orientativo). Cuadros y gráficos: Registros de consumos.</w:t>
      </w:r>
    </w:p>
    <w:p/>
    <w:p>
      <w:pPr>
        <w:jc w:val="center"/>
      </w:pPr>
      <w:r>
        <w:rPr>
          <w:sz w:val="22"/>
        </w:rPr>
        <w:t xml:space="preserve">Ahorro sobre Sin WES: </w:t>
      </w:r>
      <w:r>
        <w:rPr>
          <w:b/>
          <w:sz w:val="28"/>
        </w:rPr>
        <w:t>47,94 %</w:t>
      </w:r>
    </w:p>
    <w:p/>
    <w:p>
      <w:pPr>
        <w:jc w:val="center"/>
      </w:pPr>
      <w:r>
        <w:rPr>
          <w:color w:val="646464"/>
          <w:sz w:val="18"/>
        </w:rPr>
        <w:t>Documento generado automáticamente — 21-08-2026 16:23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