
<file path=[Content_Types].xml><?xml version="1.0" encoding="utf-8"?>
<Types xmlns="http://schemas.openxmlformats.org/package/2006/content-types">
  <Default Extension="bmp" ContentType="image/bmp"/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Calibri" w:hAnsi="Calibri"/>
          <w:color w:val="1F4788"/>
          <w:sz w:val="30"/>
        </w:rPr>
        <w:t>Validación relojería vs App WES — Fundo Zapallar</w:t>
      </w:r>
    </w:p>
    <w:p>
      <w:pPr>
        <w:spacing w:after="120"/>
      </w:pPr>
      <w:r>
        <w:rPr>
          <w:rFonts w:ascii="Calibri" w:hAnsi="Calibri" w:eastAsia="Calibri"/>
          <w:b w:val="0"/>
          <w:color w:val="595959"/>
          <w:sz w:val="18"/>
        </w:rPr>
        <w:t>Ventana 02-10-2026 → 14-10-2026  ·  Horas completas (se excluye la hora de cada foto)  ·  Uso interno WES</w:t>
      </w:r>
    </w:p>
    <w:p>
      <w:pPr>
        <w:pStyle w:val="Heading1"/>
      </w:pPr>
      <w:r>
        <w:rPr>
          <w:color w:val="1F4788"/>
        </w:rPr>
        <w:t>Resultado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38"/>
        <w:gridCol w:w="1738"/>
        <w:gridCol w:w="1738"/>
        <w:gridCol w:w="1738"/>
        <w:gridCol w:w="1738"/>
        <w:gridCol w:w="1738"/>
      </w:tblGrid>
      <w:tr>
        <w:tc>
          <w:tcPr>
            <w:tcW w:type="dxa" w:w="1738"/>
          </w:tcPr>
          <w:p>
            <w:r/>
            <w:r>
              <w:rPr>
                <w:rFonts w:ascii="Calibri" w:hAnsi="Calibri" w:eastAsia="Calibri"/>
                <w:b/>
                <w:color w:val="1F4788"/>
                <w:sz w:val="18"/>
              </w:rPr>
              <w:t>Punto</w:t>
            </w:r>
          </w:p>
        </w:tc>
        <w:tc>
          <w:tcPr>
            <w:tcW w:type="dxa" w:w="1738"/>
          </w:tcPr>
          <w:p>
            <w:r/>
            <w:r>
              <w:rPr>
                <w:rFonts w:ascii="Calibri" w:hAnsi="Calibri" w:eastAsia="Calibri"/>
                <w:b/>
                <w:color w:val="1F4788"/>
                <w:sz w:val="18"/>
              </w:rPr>
              <w:t>Relojería (m³)</w:t>
            </w:r>
          </w:p>
        </w:tc>
        <w:tc>
          <w:tcPr>
            <w:tcW w:type="dxa" w:w="1738"/>
          </w:tcPr>
          <w:p>
            <w:r/>
            <w:r>
              <w:rPr>
                <w:rFonts w:ascii="Calibri" w:hAnsi="Calibri" w:eastAsia="Calibri"/>
                <w:b/>
                <w:color w:val="1F4788"/>
                <w:sz w:val="18"/>
              </w:rPr>
              <w:t>App WES (m³)</w:t>
            </w:r>
          </w:p>
        </w:tc>
        <w:tc>
          <w:tcPr>
            <w:tcW w:type="dxa" w:w="1738"/>
          </w:tcPr>
          <w:p>
            <w:r/>
            <w:r>
              <w:rPr>
                <w:rFonts w:ascii="Calibri" w:hAnsi="Calibri" w:eastAsia="Calibri"/>
                <w:b/>
                <w:color w:val="1F4788"/>
                <w:sz w:val="18"/>
              </w:rPr>
              <w:t>Diff</w:t>
            </w:r>
          </w:p>
        </w:tc>
        <w:tc>
          <w:tcPr>
            <w:tcW w:type="dxa" w:w="1738"/>
          </w:tcPr>
          <w:p>
            <w:r/>
            <w:r>
              <w:rPr>
                <w:rFonts w:ascii="Calibri" w:hAnsi="Calibri" w:eastAsia="Calibri"/>
                <w:b/>
                <w:color w:val="1F4788"/>
                <w:sz w:val="18"/>
              </w:rPr>
              <w:t>Error</w:t>
            </w:r>
          </w:p>
        </w:tc>
        <w:tc>
          <w:tcPr>
            <w:tcW w:type="dxa" w:w="1738"/>
          </w:tcPr>
          <w:p>
            <w:r/>
            <w:r>
              <w:rPr>
                <w:rFonts w:ascii="Calibri" w:hAnsi="Calibri" w:eastAsia="Calibri"/>
                <w:b/>
                <w:color w:val="1F4788"/>
                <w:sz w:val="18"/>
              </w:rPr>
              <w:t>Lectura</w:t>
            </w:r>
          </w:p>
        </w:tc>
      </w:tr>
      <w:tr>
        <w:tc>
          <w:tcPr>
            <w:tcW w:type="dxa" w:w="1738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Matriz ESVAL</w:t>
              <w:br/>
              <w:t>000027-01</w:t>
            </w:r>
          </w:p>
        </w:tc>
        <w:tc>
          <w:tcPr>
            <w:tcW w:type="dxa" w:w="1738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1.391,5</w:t>
            </w:r>
          </w:p>
        </w:tc>
        <w:tc>
          <w:tcPr>
            <w:tcW w:type="dxa" w:w="1738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1.425,87</w:t>
            </w:r>
          </w:p>
        </w:tc>
        <w:tc>
          <w:tcPr>
            <w:tcW w:type="dxa" w:w="1738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+34,37</w:t>
            </w:r>
          </w:p>
        </w:tc>
        <w:tc>
          <w:tcPr>
            <w:tcW w:type="dxa" w:w="1738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2,4 %</w:t>
            </w:r>
          </w:p>
        </w:tc>
        <w:tc>
          <w:tcPr>
            <w:tcW w:type="dxa" w:w="1738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Aceptable</w:t>
            </w:r>
          </w:p>
        </w:tc>
      </w:tr>
      <w:tr>
        <w:tc>
          <w:tcPr>
            <w:tcW w:type="dxa" w:w="1738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Etapa N°5</w:t>
              <w:br/>
              <w:t>000027-03</w:t>
            </w:r>
          </w:p>
        </w:tc>
        <w:tc>
          <w:tcPr>
            <w:tcW w:type="dxa" w:w="1738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242,1</w:t>
            </w:r>
          </w:p>
        </w:tc>
        <w:tc>
          <w:tcPr>
            <w:tcW w:type="dxa" w:w="1738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243,4</w:t>
            </w:r>
          </w:p>
        </w:tc>
        <w:tc>
          <w:tcPr>
            <w:tcW w:type="dxa" w:w="1738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+1,3</w:t>
            </w:r>
          </w:p>
        </w:tc>
        <w:tc>
          <w:tcPr>
            <w:tcW w:type="dxa" w:w="1738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0,5 %</w:t>
            </w:r>
          </w:p>
        </w:tc>
        <w:tc>
          <w:tcPr>
            <w:tcW w:type="dxa" w:w="1738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Excelente</w:t>
            </w:r>
          </w:p>
        </w:tc>
      </w:tr>
    </w:tbl>
    <w:p/>
    <w:p>
      <w:pPr>
        <w:pStyle w:val="Heading2"/>
      </w:pPr>
      <w:r>
        <w:rPr>
          <w:color w:val="1F4788"/>
          <w:sz w:val="22"/>
        </w:rPr>
        <w:t>Matriz ESVAL (000027-01)</w:t>
      </w:r>
    </w:p>
    <w:p>
      <w:pPr>
        <w:pStyle w:val="ListBullet"/>
        <w:spacing w:after="20"/>
      </w:pPr>
      <w:r>
        <w:rPr>
          <w:rFonts w:ascii="Calibri" w:hAnsi="Calibri" w:eastAsia="Calibri"/>
          <w:b w:val="0"/>
          <w:sz w:val="18"/>
        </w:rPr>
        <w:t>Medidor: Itron FLOSTAR S</w:t>
      </w:r>
    </w:p>
    <w:p>
      <w:pPr>
        <w:pStyle w:val="ListBullet"/>
        <w:spacing w:after="20"/>
      </w:pPr>
      <w:r>
        <w:rPr>
          <w:rFonts w:ascii="Calibri" w:hAnsi="Calibri" w:eastAsia="Calibri"/>
          <w:b w:val="0"/>
          <w:sz w:val="18"/>
        </w:rPr>
        <w:t>Lectura inicial: 385.430,8 m³ · 02-10 13:22</w:t>
      </w:r>
    </w:p>
    <w:p>
      <w:pPr>
        <w:pStyle w:val="ListBullet"/>
        <w:spacing w:after="20"/>
      </w:pPr>
      <w:r>
        <w:rPr>
          <w:rFonts w:ascii="Calibri" w:hAnsi="Calibri" w:eastAsia="Calibri"/>
          <w:b w:val="0"/>
          <w:sz w:val="18"/>
        </w:rPr>
        <w:t>Lectura final: 386.822,3 m³ · 14-10 17:08</w:t>
      </w:r>
    </w:p>
    <w:p>
      <w:pPr>
        <w:pStyle w:val="ListBullet"/>
        <w:spacing w:after="20"/>
      </w:pPr>
      <w:r>
        <w:rPr>
          <w:rFonts w:ascii="Calibri" w:hAnsi="Calibri" w:eastAsia="Calibri"/>
          <w:b w:val="0"/>
          <w:sz w:val="18"/>
        </w:rPr>
        <w:t>Suma App: 14:00 del 02 → 16:00 del 14 (291 horas)</w:t>
      </w:r>
    </w:p>
    <w:p>
      <w:pPr>
        <w:pStyle w:val="Heading2"/>
      </w:pPr>
      <w:r>
        <w:rPr>
          <w:color w:val="1F4788"/>
          <w:sz w:val="22"/>
        </w:rPr>
        <w:t>Etapa N°5 (000027-03)</w:t>
      </w:r>
    </w:p>
    <w:p>
      <w:pPr>
        <w:pStyle w:val="ListBullet"/>
        <w:spacing w:after="20"/>
      </w:pPr>
      <w:r>
        <w:rPr>
          <w:rFonts w:ascii="Calibri" w:hAnsi="Calibri" w:eastAsia="Calibri"/>
          <w:b w:val="0"/>
          <w:sz w:val="18"/>
        </w:rPr>
        <w:t>Medidor: Sensus MeiStream Plus 100</w:t>
      </w:r>
    </w:p>
    <w:p>
      <w:pPr>
        <w:pStyle w:val="ListBullet"/>
        <w:spacing w:after="20"/>
      </w:pPr>
      <w:r>
        <w:rPr>
          <w:rFonts w:ascii="Calibri" w:hAnsi="Calibri" w:eastAsia="Calibri"/>
          <w:b w:val="0"/>
          <w:sz w:val="18"/>
        </w:rPr>
        <w:t>Lectura inicial: 5.369 m³ · 02-10 08:44</w:t>
      </w:r>
    </w:p>
    <w:p>
      <w:pPr>
        <w:pStyle w:val="ListBullet"/>
        <w:spacing w:after="20"/>
      </w:pPr>
      <w:r>
        <w:rPr>
          <w:rFonts w:ascii="Calibri" w:hAnsi="Calibri" w:eastAsia="Calibri"/>
          <w:b w:val="0"/>
          <w:sz w:val="18"/>
        </w:rPr>
        <w:t>Lectura final: 5.611,1 m³ · 14-10 17:00</w:t>
      </w:r>
    </w:p>
    <w:p>
      <w:pPr>
        <w:pStyle w:val="ListBullet"/>
        <w:spacing w:after="20"/>
      </w:pPr>
      <w:r>
        <w:rPr>
          <w:rFonts w:ascii="Calibri" w:hAnsi="Calibri" w:eastAsia="Calibri"/>
          <w:b w:val="0"/>
          <w:sz w:val="18"/>
        </w:rPr>
        <w:t>Suma App: 09:00 del 02 → 16:00 del 14 (296 horas)</w:t>
      </w:r>
    </w:p>
    <w:p>
      <w:pPr>
        <w:pStyle w:val="Heading1"/>
      </w:pPr>
      <w:r>
        <w:rPr>
          <w:color w:val="1F4788"/>
        </w:rPr>
        <w:t>Conclusión</w:t>
      </w:r>
    </w:p>
    <w:p>
      <w:pPr>
        <w:jc w:val="both"/>
      </w:pPr>
      <w:r>
        <w:rPr>
          <w:rFonts w:ascii="Calibri" w:hAnsi="Calibri" w:eastAsia="Calibri"/>
          <w:b w:val="0"/>
          <w:sz w:val="20"/>
        </w:rPr>
        <w:t>Etapa N°5 cierra con error 0,5 % (excelente). Matriz ESVAL cierra con 2,4 %, app por encima del Itron, del mismo orden que el cierre anterior (2,1 % el 02-10). Ambos puntos quedan validados para el período.</w:t>
      </w:r>
    </w:p>
    <w:p>
      <w:pPr>
        <w:spacing w:before="160"/>
      </w:pPr>
      <w:r>
        <w:rPr>
          <w:rFonts w:ascii="Calibri" w:hAnsi="Calibri" w:eastAsia="Calibri"/>
          <w:b w:val="0"/>
          <w:color w:val="595959"/>
          <w:sz w:val="16"/>
        </w:rPr>
        <w:t>WES · generado 15-10-2026 16:32</w:t>
      </w:r>
    </w:p>
    <w:sectPr w:rsidR="00FC693F" w:rsidRPr="0006063C" w:rsidSect="00034616">
      <w:headerReference w:type="default" r:id="rId9"/>
      <w:pgSz w:w="12240" w:h="15840"/>
      <w:pgMar w:top="737" w:right="907" w:bottom="62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before="0"/>
      <w:jc w:val="right"/>
    </w:pPr>
    <w:r>
      <w:drawing>
        <wp:inline xmlns:a="http://schemas.openxmlformats.org/drawingml/2006/main" xmlns:pic="http://schemas.openxmlformats.org/drawingml/2006/picture">
          <wp:extent cx="1371600" cy="304081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 wes.bmp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71600" cy="304081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b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