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788"/>
          <w:sz w:val="30"/>
        </w:rPr>
        <w:t>Validación relojería vs App WES — Fundo Zapallar</w:t>
      </w:r>
    </w:p>
    <w:p>
      <w:pPr>
        <w:spacing w:after="120"/>
      </w:pPr>
      <w:r>
        <w:rPr>
          <w:rFonts w:ascii="Calibri" w:hAnsi="Calibri" w:eastAsia="Calibri"/>
          <w:b w:val="0"/>
          <w:color w:val="595959"/>
          <w:sz w:val="18"/>
        </w:rPr>
        <w:t>Ventana 02-10-2026 → 15-10-2026  ·  Horas completas (se excluye la hora de cada foto)  ·  Uso interno WES</w:t>
      </w:r>
    </w:p>
    <w:p>
      <w:pPr>
        <w:pStyle w:val="Heading1"/>
      </w:pPr>
      <w:r>
        <w:rPr>
          <w:color w:val="1F4788"/>
        </w:rPr>
        <w:t>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Punto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Relojería (m³)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App WES (m³)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Diff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Error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Matriz ESVAL</w:t>
              <w:br/>
              <w:t>000027-01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1.458,9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1.496,32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+37,42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2,5 %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Aceptable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Etapa N°5</w:t>
              <w:br/>
              <w:t>000027-03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258,0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261,7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+3,7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1,4 %</w:t>
            </w:r>
          </w:p>
        </w:tc>
        <w:tc>
          <w:tcPr>
            <w:tcW w:type="dxa" w:w="173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Aceptable</w:t>
            </w:r>
          </w:p>
        </w:tc>
      </w:tr>
    </w:tbl>
    <w:p/>
    <w:p>
      <w:pPr>
        <w:pStyle w:val="Heading2"/>
      </w:pPr>
      <w:r>
        <w:rPr>
          <w:color w:val="1F4788"/>
          <w:sz w:val="22"/>
        </w:rPr>
        <w:t>Matriz ESVAL (000027-01)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Medidor: Itron FLOSTAR S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inicial: 385.430,8 m³ · 02-10 13:22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final: 386.889,7 m³ · 15-10 08:19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Suma App: 14:00 del 02 → 07:00 del 15 (306 horas)</w:t>
      </w:r>
    </w:p>
    <w:p>
      <w:pPr>
        <w:pStyle w:val="Heading2"/>
      </w:pPr>
      <w:r>
        <w:rPr>
          <w:color w:val="1F4788"/>
          <w:sz w:val="22"/>
        </w:rPr>
        <w:t>Etapa N°5 (000027-03)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Medidor: Sensus MeiStream Plus 100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inicial: 5.369 m³ · 02-10 08:44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Lectura final: 5.627 m³ · 15-10 08:36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18"/>
        </w:rPr>
        <w:t>Suma App: 09:00 del 02 → 07:00 del 15 (311 horas)</w:t>
      </w:r>
    </w:p>
    <w:p>
      <w:pPr>
        <w:pStyle w:val="Heading1"/>
      </w:pPr>
      <w:r>
        <w:rPr>
          <w:color w:val="1F4788"/>
        </w:rPr>
        <w:t>Conclusión</w:t>
      </w:r>
    </w:p>
    <w:p>
      <w:pPr>
        <w:jc w:val="both"/>
      </w:pPr>
      <w:r>
        <w:rPr>
          <w:rFonts w:ascii="Calibri" w:hAnsi="Calibri" w:eastAsia="Calibri"/>
          <w:b w:val="0"/>
          <w:sz w:val="20"/>
        </w:rPr>
        <w:t>Etapa N°5 cierra con error 1,4 % (aceptable). Matriz ESVAL cierra con 2,5 %, app por encima del Itron, del mismo orden que el cierre del 02-10 (2,1 %) y del 14-10 (2,4 %). Ambos puntos quedan validados para el período.</w:t>
      </w:r>
    </w:p>
    <w:p>
      <w:pPr>
        <w:spacing w:before="160"/>
      </w:pPr>
      <w:r>
        <w:rPr>
          <w:rFonts w:ascii="Calibri" w:hAnsi="Calibri" w:eastAsia="Calibri"/>
          <w:b w:val="0"/>
          <w:color w:val="595959"/>
          <w:sz w:val="16"/>
        </w:rPr>
        <w:t>WES · generado 15-10-2026 17:02</w:t>
      </w:r>
    </w:p>
    <w:sectPr w:rsidR="00FC693F" w:rsidRPr="0006063C" w:rsidSect="00034616">
      <w:headerReference w:type="default" r:id="rId9"/>
      <w:pgSz w:w="12240" w:h="15840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