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Renca — sin WES desde el 17/08 vs semanas con WES</w:t>
      </w:r>
    </w:p>
    <w:p>
      <w:r>
        <w:rPr>
          <w:b/>
        </w:rPr>
        <w:t xml:space="preserve">Periodo sin control: </w:t>
      </w:r>
      <w:r>
        <w:t>lunes 17/08 a 20/08/2026 12:53 Chile (lun, mar, mié completos + jue hasta 11:59; 84 h). Cada semana con WES se mide en las mismas horas. Mejor para comparar = semana previa (10–16 ago, misma estación). Mayor ahorro = mejor % entre semanas operativas (sin receso).</w:t>
      </w:r>
    </w:p>
    <w:p>
      <w:pPr>
        <w:pStyle w:val="Heading1"/>
      </w:pPr>
      <w:r>
        <w:t>ICCP (Cumbre de Cóndores pte.)</w:t>
      </w:r>
    </w:p>
    <w:p>
      <w:r>
        <w:t>Sin WES hasta ahora: 100,8 m³. Mejor para comparar: 10/08–16/08 (49,8 m³ con WES → 50,6 %). Mayor ahorro operativo: 18/05–24/05 (70,5 %; 71,1 m³).</w:t>
      </w:r>
    </w:p>
    <w:p>
      <w:r>
        <w:drawing>
          <wp:inline xmlns:a="http://schemas.openxmlformats.org/drawingml/2006/main" xmlns:pic="http://schemas.openxmlformats.org/drawingml/2006/picture">
            <wp:extent cx="5616000" cy="2631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io_sin_000017-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1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2000" cy="2385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s_000017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Con WES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Sin WES ahora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Ahorro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Selección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04/05–10/05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33,5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67,3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66,8 %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11/05–17/05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18/05–24/05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29,7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100,8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71,1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70,5 %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Mayor ahorro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25/05–31/05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63,6 %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01/06–07/06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65,3 %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08/06–14/06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59,4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58,9 %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15/06–21/06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59,3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58,8 %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06/07–12/07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13/07–19/07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52,4 %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20/07–26/07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27/07–02/08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49,6 %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03/08–09/08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52,3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48,1 %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10/08–16/08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49,8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100,8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51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50,6 %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Mejor para comparar</w:t>
            </w:r>
          </w:p>
        </w:tc>
      </w:tr>
    </w:tbl>
    <w:p>
      <w:pPr>
        <w:pStyle w:val="Heading1"/>
      </w:pPr>
      <w:r>
        <w:t>Esc. Lo Velásquez</w:t>
      </w:r>
    </w:p>
    <w:p>
      <w:r>
        <w:t>Sin WES hasta ahora: 17,9 m³. Mejor para comparar: 10/08–16/08 (24,6 m³ con WES → -37,6 %). Mayor ahorro operativo: 20/07–26/07 (33,2 %; 5,9 m³).</w:t>
      </w:r>
    </w:p>
    <w:p>
      <w:r>
        <w:drawing>
          <wp:inline xmlns:a="http://schemas.openxmlformats.org/drawingml/2006/main" xmlns:pic="http://schemas.openxmlformats.org/drawingml/2006/picture">
            <wp:extent cx="5616000" cy="2631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io_sin_000017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1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2000" cy="2385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s_000017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Con WES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Sin WES ahora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Ahorro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Selección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11/05–17/05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4,5 %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18/05–24/05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10,8 %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25/05–31/05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-6,8 %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01/06–07/06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27,7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-9,8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-55,1 %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08/06–14/06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-39,4 %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15/06–21/06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06/07–12/07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-10,6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-59,1 %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13/07–19/07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20/07–26/07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11,9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17,9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5,9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33,2 %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Mayor ahorro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27/07–02/08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-43,5 %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03/08–09/08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17,9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13,9 %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10/08–16/08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24,6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17,9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-6,7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-37,6 %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Mejor para comparar</w:t>
            </w:r>
          </w:p>
        </w:tc>
      </w:tr>
    </w:tbl>
    <w:p>
      <w:pPr>
        <w:pStyle w:val="Heading1"/>
      </w:pPr>
      <w:r>
        <w:t>Gimnasio municipal</w:t>
      </w:r>
    </w:p>
    <w:p>
      <w:r>
        <w:t>Sin WES hasta ahora: 18,7 m³. Mejor para comparar: 10/08–16/08 (23 m³ con WES → -22,8 %). Mayor ahorro operativo: 18/05–24/05 (82,9 %; 15,5 m³).</w:t>
      </w:r>
    </w:p>
    <w:p>
      <w:r>
        <w:drawing>
          <wp:inline xmlns:a="http://schemas.openxmlformats.org/drawingml/2006/main" xmlns:pic="http://schemas.openxmlformats.org/drawingml/2006/picture">
            <wp:extent cx="5616000" cy="26314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io_sin_000017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1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2000" cy="2385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s_000017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Con WES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Sin WES ahora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Ahorro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Selección</w:t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18/05–24/05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3,2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18,7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15,5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82,9 %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Mayor ahorro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25/05–31/05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76,2 %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01/06–07/06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08/06–14/06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72,4 %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15/06–21/06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71,7 %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22/06–28/06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73,7 %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29/06–05/07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68,7 %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06/07–12/07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74,1 %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10/08–16/08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23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18,7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-4,3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-22,8 %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Mejor para comparar</w:t>
            </w:r>
          </w:p>
        </w:tc>
      </w:tr>
    </w:tbl>
    <w:p>
      <w:pPr>
        <w:pStyle w:val="Heading1"/>
      </w:pPr>
      <w:r>
        <w:t>Piscina municipal</w:t>
      </w:r>
    </w:p>
    <w:p>
      <w:r>
        <w:t>Sin WES hasta ahora: 201,6 m³. Mejor para comparar: 10/08–16/08 (103,7 m³ con WES → 48,6 %). Mayor ahorro operativo: 06/07–12/07 (59,9 %; 120,7 m³).</w:t>
      </w:r>
    </w:p>
    <w:p>
      <w:r>
        <w:drawing>
          <wp:inline xmlns:a="http://schemas.openxmlformats.org/drawingml/2006/main" xmlns:pic="http://schemas.openxmlformats.org/drawingml/2006/picture">
            <wp:extent cx="5616000" cy="26314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io_sin_000017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314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2000" cy="2385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s_000017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85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Con WES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Sin WES ahora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Ahorro (m³)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1440"/>
            <w:shd w:val="clear" w:fill="1F4788"/>
          </w:tcPr>
          <w:p>
            <w:r>
              <w:rPr>
                <w:b/>
                <w:color w:val="FFFFFF"/>
                <w:sz w:val="18"/>
              </w:rPr>
              <w:t>Selección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04/05–10/05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169,4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11/05–17/05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190,5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5,5 %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18/05–24/05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144,1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57,5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28,5 %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25/05–31/05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216,4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-14,8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01/06–07/06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209,3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-3,8 %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08/06–14/06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214,2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-12,6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-6,3 %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22/06–28/06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199,1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29/06–05/07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107,2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94,3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46,8 %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06/07–12/07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80,9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201,6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120,7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59,9 %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Mayor ahorro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13/07–19/07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104,4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51,8 %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20/07–26/07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102,7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98,9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27/07–02/08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98,4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103,2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51,2 %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03/08–09/08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98,5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201,6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51,1 %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10/08–16/08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103,7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201,6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97,9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48,6 %</w:t>
            </w:r>
          </w:p>
        </w:tc>
        <w:tc>
          <w:tcPr>
            <w:tcW w:type="dxa" w:w="1440"/>
            <w:shd w:val="clear" w:fill="E2EFDA"/>
          </w:tcPr>
          <w:p>
            <w:r>
              <w:rPr>
                <w:b/>
                <w:sz w:val="18"/>
              </w:rPr>
              <w:t>Mejor para comparar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