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PARQUE ARAUCO ESTACIÓN — PIZZA HUT</w:t>
      </w:r>
    </w:p>
    <w:p>
      <w:pPr>
        <w:jc w:val="center"/>
      </w:pPr>
      <w:r>
        <w:rPr>
          <w:sz w:val="22"/>
        </w:rPr>
        <w:t>Activación del control 22-01-2026  ·  primera madrugada en cero 23-01-2026</w:t>
      </w:r>
    </w:p>
    <w:p>
      <w:r>
        <w:t>El sistema se activó el jueves 22 de enero de 2026. La primera madrugada que ya corre con control es la del viernes 23 de enero. Para el informe se compara esa noche con el día anterior al 22 que más consumió entre 00:00 y 06:00: domingo 18 de enero (8,44 m³).</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F4E79"/>
          </w:tcPr>
          <w:p>
            <w:r/>
            <w:r>
              <w:rPr>
                <w:rFonts w:ascii="Calibri" w:hAnsi="Calibri"/>
                <w:b/>
                <w:color w:val="FFFFFF"/>
                <w:sz w:val="18"/>
              </w:rPr>
            </w:r>
          </w:p>
        </w:tc>
        <w:tc>
          <w:tcPr>
            <w:tcW w:type="dxa" w:w="2578"/>
            <w:shd w:val="clear" w:fill="1F4E79"/>
          </w:tcPr>
          <w:p>
            <w:r/>
            <w:r>
              <w:rPr>
                <w:rFonts w:ascii="Calibri" w:hAnsi="Calibri"/>
                <w:b/>
                <w:color w:val="FFFFFF"/>
                <w:sz w:val="18"/>
              </w:rPr>
              <w:t>18-01 (antes, peor noche)</w:t>
            </w:r>
          </w:p>
        </w:tc>
        <w:tc>
          <w:tcPr>
            <w:tcW w:type="dxa" w:w="2578"/>
            <w:shd w:val="clear" w:fill="1F4E79"/>
          </w:tcPr>
          <w:p>
            <w:r/>
            <w:r>
              <w:rPr>
                <w:rFonts w:ascii="Calibri" w:hAnsi="Calibri"/>
                <w:b/>
                <w:color w:val="FFFFFF"/>
                <w:sz w:val="18"/>
              </w:rPr>
              <w:t>23-01 (primera madrugada)</w:t>
            </w:r>
          </w:p>
        </w:tc>
        <w:tc>
          <w:tcPr>
            <w:tcW w:type="dxa" w:w="2578"/>
            <w:shd w:val="clear" w:fill="1F4E79"/>
          </w:tcPr>
          <w:p>
            <w:r/>
            <w:r>
              <w:rPr>
                <w:rFonts w:ascii="Calibri" w:hAnsi="Calibri"/>
                <w:b/>
                <w:color w:val="FFFFFF"/>
                <w:sz w:val="18"/>
              </w:rPr>
              <w:t>Variación</w:t>
            </w:r>
          </w:p>
        </w:tc>
      </w:tr>
      <w:tr>
        <w:tc>
          <w:tcPr>
            <w:tcW w:type="dxa" w:w="2578"/>
            <w:shd w:val="clear" w:fill="D6E3F0"/>
          </w:tcPr>
          <w:p>
            <w:r/>
            <w:r>
              <w:rPr>
                <w:rFonts w:ascii="Calibri" w:hAnsi="Calibri"/>
                <w:b/>
                <w:sz w:val="18"/>
              </w:rPr>
              <w:t>Consumo 00:00–06:00</w:t>
            </w:r>
          </w:p>
        </w:tc>
        <w:tc>
          <w:tcPr>
            <w:tcW w:type="dxa" w:w="2578"/>
            <w:shd w:val="clear" w:fill="FCE4D6"/>
          </w:tcPr>
          <w:p>
            <w:r/>
            <w:r>
              <w:rPr>
                <w:rFonts w:ascii="Calibri" w:hAnsi="Calibri"/>
                <w:b w:val="0"/>
                <w:sz w:val="18"/>
              </w:rPr>
              <w:t>8,44 m³</w:t>
            </w:r>
          </w:p>
        </w:tc>
        <w:tc>
          <w:tcPr>
            <w:tcW w:type="dxa" w:w="2578"/>
            <w:shd w:val="clear" w:fill="FCE4D6"/>
          </w:tcPr>
          <w:p>
            <w:r/>
            <w:r>
              <w:rPr>
                <w:rFonts w:ascii="Calibri" w:hAnsi="Calibri"/>
                <w:b w:val="0"/>
                <w:sz w:val="18"/>
              </w:rPr>
              <w:t>0,90 m³</w:t>
            </w:r>
          </w:p>
        </w:tc>
        <w:tc>
          <w:tcPr>
            <w:tcW w:type="dxa" w:w="2578"/>
          </w:tcPr>
          <w:p>
            <w:r/>
            <w:r>
              <w:rPr>
                <w:rFonts w:ascii="Calibri" w:hAnsi="Calibri"/>
                <w:b/>
                <w:sz w:val="18"/>
              </w:rPr>
              <w:t>−89 %</w:t>
            </w:r>
          </w:p>
        </w:tc>
      </w:tr>
      <w:tr>
        <w:tc>
          <w:tcPr>
            <w:tcW w:type="dxa" w:w="2578"/>
            <w:shd w:val="clear" w:fill="D6E3F0"/>
          </w:tcPr>
          <w:p>
            <w:r/>
            <w:r>
              <w:rPr>
                <w:rFonts w:ascii="Calibri" w:hAnsi="Calibri"/>
                <w:b/>
                <w:sz w:val="18"/>
              </w:rPr>
              <w:t>Pico horario madrugada</w:t>
            </w:r>
          </w:p>
        </w:tc>
        <w:tc>
          <w:tcPr>
            <w:tcW w:type="dxa" w:w="2578"/>
            <w:shd w:val="clear" w:fill="C8E6C9"/>
          </w:tcPr>
          <w:p>
            <w:r/>
            <w:r>
              <w:rPr>
                <w:rFonts w:ascii="Calibri" w:hAnsi="Calibri"/>
                <w:b w:val="0"/>
                <w:sz w:val="18"/>
              </w:rPr>
              <w:t>2,20 m³/h</w:t>
            </w:r>
          </w:p>
        </w:tc>
        <w:tc>
          <w:tcPr>
            <w:tcW w:type="dxa" w:w="2578"/>
            <w:shd w:val="clear" w:fill="C8E6C9"/>
          </w:tcPr>
          <w:p>
            <w:r/>
            <w:r>
              <w:rPr>
                <w:rFonts w:ascii="Calibri" w:hAnsi="Calibri"/>
                <w:b w:val="0"/>
                <w:sz w:val="18"/>
              </w:rPr>
              <w:t>0,69 m³/h</w:t>
            </w:r>
          </w:p>
        </w:tc>
        <w:tc>
          <w:tcPr>
            <w:tcW w:type="dxa" w:w="2578"/>
          </w:tcPr>
          <w:p>
            <w:r/>
            <w:r>
              <w:rPr>
                <w:rFonts w:ascii="Calibri" w:hAnsi="Calibri"/>
                <w:b/>
                <w:sz w:val="18"/>
              </w:rPr>
              <w:t>corte desde las 02:00</w:t>
            </w:r>
          </w:p>
        </w:tc>
      </w:tr>
      <w:tr>
        <w:tc>
          <w:tcPr>
            <w:tcW w:type="dxa" w:w="2578"/>
            <w:shd w:val="clear" w:fill="D6E3F0"/>
          </w:tcPr>
          <w:p>
            <w:r/>
            <w:r>
              <w:rPr>
                <w:rFonts w:ascii="Calibri" w:hAnsi="Calibri"/>
                <w:b/>
                <w:sz w:val="18"/>
              </w:rPr>
              <w:t>Consumo diurno 07–23</w:t>
            </w:r>
          </w:p>
        </w:tc>
        <w:tc>
          <w:tcPr>
            <w:tcW w:type="dxa" w:w="2578"/>
          </w:tcPr>
          <w:p>
            <w:r/>
            <w:r>
              <w:rPr>
                <w:rFonts w:ascii="Calibri" w:hAnsi="Calibri"/>
                <w:b w:val="0"/>
                <w:sz w:val="18"/>
              </w:rPr>
              <w:t>21,0 m³</w:t>
            </w:r>
          </w:p>
        </w:tc>
        <w:tc>
          <w:tcPr>
            <w:tcW w:type="dxa" w:w="2578"/>
          </w:tcPr>
          <w:p>
            <w:r/>
            <w:r>
              <w:rPr>
                <w:rFonts w:ascii="Calibri" w:hAnsi="Calibri"/>
                <w:b w:val="0"/>
                <w:sz w:val="18"/>
              </w:rPr>
              <w:t>33,7 m³</w:t>
            </w:r>
          </w:p>
        </w:tc>
        <w:tc>
          <w:tcPr>
            <w:tcW w:type="dxa" w:w="2578"/>
          </w:tcPr>
          <w:p>
            <w:r/>
            <w:r>
              <w:rPr>
                <w:rFonts w:ascii="Calibri" w:hAnsi="Calibri"/>
                <w:b/>
                <w:sz w:val="18"/>
              </w:rPr>
              <w:t>operación diurna se mantiene</w:t>
            </w:r>
          </w:p>
        </w:tc>
      </w:tr>
    </w:tbl>
    <w:p/>
    <w:p>
      <w:r>
        <w:t>Nota para el informe: el 23-01 aún hay 0,69 m³/h a las 00:00 y 0,21 m³/h a la 01:00 (el corte tardó en cerrar esa primera noche). Desde las 02:00 hasta las 08:00 el punto queda en 0,00 m³/h. La madrugada del 22-01 (día de activación) todavía consume 7,85 m³: es la noche previa al primer ciclo.</w:t>
      </w:r>
    </w:p>
    <w:p>
      <w:pPr>
        <w:jc w:val="center"/>
      </w:pPr>
      <w:r>
        <w:drawing>
          <wp:inline xmlns:a="http://schemas.openxmlformats.org/drawingml/2006/main" xmlns:pic="http://schemas.openxmlformats.org/drawingml/2006/picture">
            <wp:extent cx="5760720" cy="4540021"/>
            <wp:docPr id="1" name="Picture 1"/>
            <wp:cNvGraphicFramePr>
              <a:graphicFrameLocks noChangeAspect="1"/>
            </wp:cNvGraphicFramePr>
            <a:graphic>
              <a:graphicData uri="http://schemas.openxmlformats.org/drawingml/2006/picture">
                <pic:pic>
                  <pic:nvPicPr>
                    <pic:cNvPr id="0" name="comparacion_18ene_vs_23ene_misma_escala.png"/>
                    <pic:cNvPicPr/>
                  </pic:nvPicPr>
                  <pic:blipFill>
                    <a:blip r:embed="rId9"/>
                    <a:stretch>
                      <a:fillRect/>
                    </a:stretch>
                  </pic:blipFill>
                  <pic:spPr>
                    <a:xfrm>
                      <a:off x="0" y="0"/>
                      <a:ext cx="5760720" cy="4540021"/>
                    </a:xfrm>
                    <a:prstGeom prst="rect"/>
                  </pic:spPr>
                </pic:pic>
              </a:graphicData>
            </a:graphic>
          </wp:inline>
        </w:drawing>
      </w:r>
    </w:p>
    <w:p>
      <w:pPr>
        <w:jc w:val="center"/>
      </w:pPr>
      <w:r>
        <w:drawing>
          <wp:inline xmlns:a="http://schemas.openxmlformats.org/drawingml/2006/main" xmlns:pic="http://schemas.openxmlformats.org/drawingml/2006/picture">
            <wp:extent cx="5760720" cy="2567657"/>
            <wp:docPr id="2" name="Picture 2"/>
            <wp:cNvGraphicFramePr>
              <a:graphicFrameLocks noChangeAspect="1"/>
            </wp:cNvGraphicFramePr>
            <a:graphic>
              <a:graphicData uri="http://schemas.openxmlformats.org/drawingml/2006/picture">
                <pic:pic>
                  <pic:nvPicPr>
                    <pic:cNvPr id="0" name="pizza_hut_20260118_sin_control_max_nocturno.png"/>
                    <pic:cNvPicPr/>
                  </pic:nvPicPr>
                  <pic:blipFill>
                    <a:blip r:embed="rId10"/>
                    <a:stretch>
                      <a:fillRect/>
                    </a:stretch>
                  </pic:blipFill>
                  <pic:spPr>
                    <a:xfrm>
                      <a:off x="0" y="0"/>
                      <a:ext cx="5760720" cy="2567657"/>
                    </a:xfrm>
                    <a:prstGeom prst="rect"/>
                  </pic:spPr>
                </pic:pic>
              </a:graphicData>
            </a:graphic>
          </wp:inline>
        </w:drawing>
      </w:r>
    </w:p>
    <w:p>
      <w:pPr>
        <w:jc w:val="center"/>
      </w:pPr>
      <w:r>
        <w:drawing>
          <wp:inline xmlns:a="http://schemas.openxmlformats.org/drawingml/2006/main" xmlns:pic="http://schemas.openxmlformats.org/drawingml/2006/picture">
            <wp:extent cx="5760720" cy="2567657"/>
            <wp:docPr id="3" name="Picture 3"/>
            <wp:cNvGraphicFramePr>
              <a:graphicFrameLocks noChangeAspect="1"/>
            </wp:cNvGraphicFramePr>
            <a:graphic>
              <a:graphicData uri="http://schemas.openxmlformats.org/drawingml/2006/picture">
                <pic:pic>
                  <pic:nvPicPr>
                    <pic:cNvPr id="0" name="pizza_hut_20260123_primera_madrugada_cero.png"/>
                    <pic:cNvPicPr/>
                  </pic:nvPicPr>
                  <pic:blipFill>
                    <a:blip r:embed="rId11"/>
                    <a:stretch>
                      <a:fillRect/>
                    </a:stretch>
                  </pic:blipFill>
                  <pic:spPr>
                    <a:xfrm>
                      <a:off x="0" y="0"/>
                      <a:ext cx="5760720" cy="2567657"/>
                    </a:xfrm>
                    <a:prstGeom prst="rect"/>
                  </pic:spPr>
                </pic:pic>
              </a:graphicData>
            </a:graphic>
          </wp:inline>
        </w:drawing>
      </w:r>
    </w:p>
    <w:sectPr w:rsidR="00FC693F" w:rsidRPr="0006063C" w:rsidSect="00034616">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