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BUPA</w:t>
      </w:r>
    </w:p>
    <w:p>
      <w:pPr>
        <w:jc w:val="center"/>
      </w:pPr>
      <w:r>
        <w:t>MONITOREO WES</w:t>
        <w:br/>
        <w:t>Análisis consolidado de 4 puntos de monitoreo</w:t>
        <w:br/>
        <w:t>Rango: 23-07-26 - 11-08-26</w:t>
        <w:br/>
        <w:t>Generado: 12-08-26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4.</w:t>
        <w:br/>
      </w:r>
      <w:r>
        <w:t>Consumo total agregado: 4.027,2 m³.</w:t>
        <w:br/>
      </w:r>
      <w:r>
        <w:t>Consumo promedio por punto: 1.006,8 m³.</w:t>
        <w:br/>
      </w:r>
      <w:r>
        <w:t>Total de alertas registradas: 22.</w:t>
        <w:br/>
      </w:r>
      <w:r>
        <w:t>Promedio de alerta agregado: 0,8 m³/h.</w:t>
        <w:br/>
      </w:r>
      <w:r>
        <w:t>Proyección diaria de consumo nocturno agregada: 20,3 m³/día.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8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Medidor Principal Sanitaria, con un total de 2.846 m³ durante el periodo analizado. Este valor representa un 182,7% por encima del promedio (1.006,8 m³ por punto), indicando una demanda significativamente superior a la media. Por otro lado, el punto con menor consumo es Sala de Bomba N°2, con un total de 20,4 m³. Este valor representa un 98% por debajo del promedio, mostrando una demanda significativamente inferior. La diferencia entre el punto de mayor y menor consumo es considerable, siendo el consumo máximo aproximadamente 139,4 veces superior al mínimo, lo que sugiere variaciones significativas en los patrones de uso entre los diferentes puntos de monitoreo.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 NOCTURNO - MEDIDOR PRINCIPAL SANITARIA (24-07-26):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8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000029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gráfico muestra el día con mayor consumo nocturno (00:00–06:59) del Medidor Principal Sanitaria en el periodo de días completos analizado. Este medidor representa el total de la cuenta de agua de la clínica.</w:t>
      </w:r>
    </w:p>
    <w:p>
      <w:pPr>
        <w:keepNext/>
        <w:widowControl/>
        <w:spacing w:after="60"/>
      </w:pPr>
      <w:r>
        <w:rPr>
          <w:b/>
          <w:color w:val="003366"/>
        </w:rPr>
        <w:t>PROYECCIÓN DE CONSUMO MENSUAL (WES · DÍAS COMPLETOS)</w:t>
      </w:r>
    </w:p>
    <w:p>
      <w:pPr>
        <w:jc w:val="both"/>
      </w:pPr>
      <w:r>
        <w:rPr>
          <w:color w:val="000000"/>
        </w:rPr>
        <w:t>Se consideran solo días civiles completos (20 días: 23/07/2026–11/08/2026), sin incluir el día en curso a fin de no distorsionar el promedio diario. Para cada punto: promedio diario del periodo × 30. La valorización usa la tarifa efectiva de la última factura ($2.769 CLP/m³ = $18.538.860 ÷ 6.696 m³). La factura de julio (6.696 m³ / $18.538.860) se muestra solo como referencia histórica; no reemplaza la proyección WES.</w:t>
      </w:r>
    </w:p>
    <w:p/>
    <w:p>
      <w:pPr>
        <w:keepNext/>
        <w:widowControl/>
        <w:spacing w:after="60"/>
      </w:pPr>
      <w:r>
        <w:rPr>
          <w:b/>
          <w:color w:val="003366"/>
        </w:rPr>
        <w:t>PROYECCIÓN / CUENTA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9"/>
        <w:gridCol w:w="1382"/>
        <w:gridCol w:w="1382"/>
        <w:gridCol w:w="1589"/>
        <w:gridCol w:w="1658"/>
      </w:tblGrid>
      <w:tr>
        <w:trPr>
          <w:cantSplit/>
        </w:trPr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20 días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Promedio diario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(m³)</w:t>
            </w:r>
          </w:p>
        </w:tc>
        <w:tc>
          <w:tcPr>
            <w:tcW w:type="dxa" w:w="1728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Proyección 30 días (CLP)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(000029-09)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2.846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142,3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4.269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$11.819.437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1.032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51,6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1.548,1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$4.286.073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128,8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6,4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193,1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6"/>
              </w:rPr>
              <w:t>$534.695</w:t>
            </w:r>
          </w:p>
        </w:tc>
      </w:tr>
      <w:tr>
        <w:trPr>
          <w:cantSplit/>
        </w:trPr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20,4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30,6</w:t>
            </w:r>
          </w:p>
        </w:tc>
        <w:tc>
          <w:tcPr>
            <w:tcW w:type="dxa" w:w="1728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$84.804</w:t>
            </w:r>
          </w:p>
        </w:tc>
      </w:tr>
      <w:tr>
        <w:trPr>
          <w:cantSplit/>
        </w:trPr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Referencia: factura julio (histórica)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—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6.696</w:t>
            </w:r>
          </w:p>
        </w:tc>
        <w:tc>
          <w:tcPr>
            <w:tcW w:type="dxa" w:w="1728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$18.538.860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Lectura para el cliente: </w:t>
      </w:r>
      <w:r>
        <w:rPr>
          <w:color w:val="000000"/>
        </w:rPr>
        <w:t>en estos 20 días el Medidor Principal Sanitaria registró 2.846 m³ (142,3 m³/día). Si ese ritmo se mantiene, la cuenta a 30 días se acerca a 4.269 m³ ($11.819.437), frente a la última factura de 6.696 m³ ($18.538.860).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1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yeccion_mensual_total_por_pun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1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PARTICIPACIÓN DE SALAS DE BOMBA VS CUENTA (PROYECCIÓN WES)</w:t>
      </w:r>
    </w:p>
    <w:p>
      <w:pPr>
        <w:jc w:val="both"/>
      </w:pPr>
      <w:r>
        <w:rPr>
          <w:color w:val="000000"/>
        </w:rPr>
        <w:t>El Medidor Principal Sanitaria representa el 100% de la cuenta (distribuye todo el consumo). Las salas de bomba son submediciones internas. La diferencia entre el 100% y la suma de las salas es volumen (y costo) que hoy no está siendo monitoreado punto a punto.</w:t>
      </w:r>
    </w:p>
    <w:p/>
    <w:p>
      <w:pPr>
        <w:keepNext/>
        <w:widowControl/>
        <w:spacing w:after="60"/>
      </w:pPr>
      <w:r>
        <w:rPr>
          <w:b/>
          <w:color w:val="003366"/>
        </w:rPr>
        <w:t>PARTICIPACIÓN SOBRE CUENTA (PROYECCIÓN MENSUAL)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49"/>
        <w:gridCol w:w="1737"/>
        <w:gridCol w:w="1833"/>
        <w:gridCol w:w="164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(m³)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Proy. 30 días (CLP)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Sanitaria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Medidor Principal Sanitaria (cuenta / 100%)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4.269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$11.819.437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1.548,1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$4.286.073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36,3%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193,1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$534.695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4,5%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30,6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$84.804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0,7%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TOTAL salas de bomba (07+08+10)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1.771,8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$4.905.572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41,5%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NO MONITOREADO (Sanitaria − salas)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2.497,2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$6.913.865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58,5%</w:t>
            </w:r>
          </w:p>
        </w:tc>
      </w:tr>
    </w:tbl>
    <w:p>
      <w:pPr>
        <w:jc w:val="both"/>
      </w:pPr>
      <w:r>
        <w:rPr>
          <w:b/>
          <w:color w:val="000000"/>
        </w:rPr>
        <w:t xml:space="preserve">Resumen: </w:t>
      </w:r>
      <w:r>
        <w:rPr>
          <w:color w:val="000000"/>
        </w:rPr>
        <w:t>proyectadas a 30 días, las tres salas de bomba suman 1.771,8 m³ ($4.905.572), es decir el 41,5% de la cuenta proyectada en Sanitaria. Queda un diferencial no monitoreado de 2.497,2 m³ ($6.913.865), equivalente al 58,5% de la cuenta.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17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articipacion_salas_vs_sanit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17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 xml:space="preserve">Este reporte sintetiza los principales hallazgos de consumo y fugas detectados durante el periodo analizado. Se recomienda revisar los días con mayor consumo y atender las alertas registradas. </w:t>
      </w:r>
    </w:p>
    <w:p>
      <w:pPr>
        <w:jc w:val="both"/>
      </w:pPr>
      <w:r>
        <w:rPr>
          <w:color w:val="000000"/>
        </w:rPr>
        <w:t xml:space="preserve">El análisis de filtración detectó proyecciones de fuga en los siguientes puntos de monitoreo: Medidor Principal Sanitaria, Sala de Bomba Principal, Sala de Bomba Sexto Piso y Sala de Bomba N°2. Estos puntos presentan consumos nocturnos significativos que sugieren la presencia de fugas constantes durante el periodo analizado. </w:t>
      </w:r>
    </w:p>
    <w:p>
      <w:pPr>
        <w:jc w:val="both"/>
      </w:pPr>
      <w:r>
        <w:rPr>
          <w:color w:val="000000"/>
        </w:rPr>
        <w:t>Se recomienda realizar una inspección exhaustiva en el terreno de los puntos mencionados para identificar posibles fugas. Específicamente, se sugiere revisar el correcto funcionamiento de todos los artefactos conectados a la red de agua monitoreada por WES en estos puntos, verificando que no presenten fallas, desgaste o mal funcionamiento que puedan generar pérdidas de agua. Asimismo, se recomienda buscar indicadores de humedad en superficies del terreno, tales como áreas húmedas, charcos persistentes, crecimiento anormal de vegetación, o cualquier otra señal que pueda indicar la presencia de una filtración subterránea. Estas acciones permitirán confirmar y localizar la fuente de la posible filtración identificada en el análisis.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