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788"/>
        </w:rPr>
        <w:t>Informe de Auditoría — Renca (5 puntos)</w:t>
      </w:r>
    </w:p>
    <w:p>
      <w:pPr>
        <w:jc w:val="center"/>
      </w:pPr>
      <w:r>
        <w:rPr>
          <w:b/>
          <w:color w:val="1F4788"/>
        </w:rPr>
        <w:t>Semana pasada con WES (10/08 al 14/08/2026)  vs  esta semana sin WES (17/08 al 21/08/2026)</w:t>
      </w:r>
    </w:p>
    <w:p>
      <w:r>
        <w:rPr>
          <w:b/>
        </w:rPr>
        <w:t xml:space="preserve">Ventana homóloga: </w:t>
      </w:r>
      <w:r>
        <w:t>Lunes a Viernes (00:00–11:59 Chile el último día; corte 21/08/2026 12:23 Chile). Cada día de esta semana sin control se compara con el mismo día de la semana pasada con WES (lun 17 vs lun 10, mar 18 vs mar 11, mié 19 vs mié 12, jue 20 vs jue 13, vie 21 vs vie 14). Ahorro = (Sin WES − Con WES) / Sin WES × 100. Tarifa de referencia 1.300 CLP/m³. Sin WES desde el lunes 17/08/2026 en ICCP, Lo Velásquez, gimnasio y piscina. Colegio ICCO Renca se trata aparte: solo estuvo sin control el domingo 16/08 (estanque de la sala de bombas).</w:t>
      </w:r>
    </w:p>
    <w:p>
      <w:pPr>
        <w:pStyle w:val="Heading1"/>
      </w:pPr>
      <w:r>
        <w:t>1. ICCP, Lo Velásquez, gimnasio y piscina</w:t>
      </w:r>
    </w:p>
    <w:p>
      <w:r>
        <w:drawing>
          <wp:inline xmlns:a="http://schemas.openxmlformats.org/drawingml/2006/main" xmlns:pic="http://schemas.openxmlformats.org/drawingml/2006/picture">
            <wp:extent cx="5832000" cy="2838493"/>
            <wp:docPr id="1" name="Picture 1"/>
            <wp:cNvGraphicFramePr>
              <a:graphicFrameLocks noChangeAspect="1"/>
            </wp:cNvGraphicFramePr>
            <a:graphic>
              <a:graphicData uri="http://schemas.openxmlformats.org/drawingml/2006/picture">
                <pic:pic>
                  <pic:nvPicPr>
                    <pic:cNvPr id="0" name="todos_casos_con_vs_sin.png"/>
                    <pic:cNvPicPr/>
                  </pic:nvPicPr>
                  <pic:blipFill>
                    <a:blip r:embed="rId10"/>
                    <a:stretch>
                      <a:fillRect/>
                    </a:stretch>
                  </pic:blipFill>
                  <pic:spPr>
                    <a:xfrm>
                      <a:off x="0" y="0"/>
                      <a:ext cx="5832000" cy="2838493"/>
                    </a:xfrm>
                    <a:prstGeom prst="rect"/>
                  </pic:spPr>
                </pic:pic>
              </a:graphicData>
            </a:graphic>
          </wp:inline>
        </w:drawing>
      </w:r>
    </w:p>
    <w:p/>
    <w:p>
      <w:r>
        <w:drawing>
          <wp:inline xmlns:a="http://schemas.openxmlformats.org/drawingml/2006/main" xmlns:pic="http://schemas.openxmlformats.org/drawingml/2006/picture">
            <wp:extent cx="5832000" cy="3420807"/>
            <wp:docPr id="2" name="Picture 2"/>
            <wp:cNvGraphicFramePr>
              <a:graphicFrameLocks noChangeAspect="1"/>
            </wp:cNvGraphicFramePr>
            <a:graphic>
              <a:graphicData uri="http://schemas.openxmlformats.org/drawingml/2006/picture">
                <pic:pic>
                  <pic:nvPicPr>
                    <pic:cNvPr id="0" name="dias_homologos_4_puntos.png"/>
                    <pic:cNvPicPr/>
                  </pic:nvPicPr>
                  <pic:blipFill>
                    <a:blip r:embed="rId11"/>
                    <a:stretch>
                      <a:fillRect/>
                    </a:stretch>
                  </pic:blipFill>
                  <pic:spPr>
                    <a:xfrm>
                      <a:off x="0" y="0"/>
                      <a:ext cx="5832000" cy="3420807"/>
                    </a:xfrm>
                    <a:prstGeom prst="rect"/>
                  </pic:spPr>
                </pic:pic>
              </a:graphicData>
            </a:graphic>
          </wp:inline>
        </w:drawing>
      </w:r>
    </w:p>
    <w:p>
      <w:r>
        <w:t>Conjunto: Con WES 270,2 m³; Sin WES 427,2 m³; diferencia 157 m³ (36,8 % sobre el periodo sin control; ~204.126 CLP).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1F4788"/>
          </w:tcPr>
          <w:p>
            <w:r>
              <w:rPr>
                <w:b/>
                <w:color w:val="FFFFFF"/>
                <w:sz w:val="18"/>
              </w:rPr>
              <w:t>Punto</w:t>
            </w:r>
          </w:p>
        </w:tc>
        <w:tc>
          <w:tcPr>
            <w:tcW w:type="dxa" w:w="1440"/>
            <w:shd w:val="clear" w:fill="1F4788"/>
          </w:tcPr>
          <w:p>
            <w:r>
              <w:rPr>
                <w:b/>
                <w:color w:val="FFFFFF"/>
                <w:sz w:val="18"/>
              </w:rPr>
              <w:t>Con WES (m³)</w:t>
            </w:r>
          </w:p>
        </w:tc>
        <w:tc>
          <w:tcPr>
            <w:tcW w:type="dxa" w:w="1440"/>
            <w:shd w:val="clear" w:fill="1F4788"/>
          </w:tcPr>
          <w:p>
            <w:r>
              <w:rPr>
                <w:b/>
                <w:color w:val="FFFFFF"/>
                <w:sz w:val="18"/>
              </w:rPr>
              <w:t>Sin WES (m³)</w:t>
            </w:r>
          </w:p>
        </w:tc>
        <w:tc>
          <w:tcPr>
            <w:tcW w:type="dxa" w:w="1440"/>
            <w:shd w:val="clear" w:fill="1F4788"/>
          </w:tcPr>
          <w:p>
            <w:r>
              <w:rPr>
                <w:b/>
                <w:color w:val="FFFFFF"/>
                <w:sz w:val="18"/>
              </w:rPr>
              <w:t>Ahorro (m³)</w:t>
            </w:r>
          </w:p>
        </w:tc>
        <w:tc>
          <w:tcPr>
            <w:tcW w:type="dxa" w:w="1440"/>
            <w:shd w:val="clear" w:fill="1F4788"/>
          </w:tcPr>
          <w:p>
            <w:r>
              <w:rPr>
                <w:b/>
                <w:color w:val="FFFFFF"/>
                <w:sz w:val="18"/>
              </w:rPr>
              <w:t>%</w:t>
            </w:r>
          </w:p>
        </w:tc>
        <w:tc>
          <w:tcPr>
            <w:tcW w:type="dxa" w:w="1440"/>
            <w:shd w:val="clear" w:fill="1F4788"/>
          </w:tcPr>
          <w:p>
            <w:r>
              <w:rPr>
                <w:b/>
                <w:color w:val="FFFFFF"/>
                <w:sz w:val="18"/>
              </w:rPr>
              <w:t>Hallazgo</w:t>
            </w:r>
          </w:p>
        </w:tc>
      </w:tr>
      <w:tr>
        <w:tc>
          <w:tcPr>
            <w:tcW w:type="dxa" w:w="1440"/>
            <w:shd w:val="clear" w:fill="E2EFDA"/>
          </w:tcPr>
          <w:p>
            <w:r>
              <w:rPr>
                <w:sz w:val="18"/>
              </w:rPr>
              <w:t>ICCP (Cumbre de Cóndores pte.)</w:t>
            </w:r>
          </w:p>
        </w:tc>
        <w:tc>
          <w:tcPr>
            <w:tcW w:type="dxa" w:w="1440"/>
            <w:shd w:val="clear" w:fill="E2EFDA"/>
          </w:tcPr>
          <w:p>
            <w:r>
              <w:rPr>
                <w:sz w:val="18"/>
              </w:rPr>
              <w:t>63,3</w:t>
            </w:r>
          </w:p>
        </w:tc>
        <w:tc>
          <w:tcPr>
            <w:tcW w:type="dxa" w:w="1440"/>
            <w:shd w:val="clear" w:fill="E2EFDA"/>
          </w:tcPr>
          <w:p>
            <w:r>
              <w:rPr>
                <w:sz w:val="18"/>
              </w:rPr>
              <w:t>121,6</w:t>
            </w:r>
          </w:p>
        </w:tc>
        <w:tc>
          <w:tcPr>
            <w:tcW w:type="dxa" w:w="1440"/>
            <w:shd w:val="clear" w:fill="E2EFDA"/>
          </w:tcPr>
          <w:p>
            <w:r>
              <w:rPr>
                <w:sz w:val="18"/>
              </w:rPr>
              <w:t>58,3</w:t>
            </w:r>
          </w:p>
        </w:tc>
        <w:tc>
          <w:tcPr>
            <w:tcW w:type="dxa" w:w="1440"/>
            <w:shd w:val="clear" w:fill="E2EFDA"/>
          </w:tcPr>
          <w:p>
            <w:r>
              <w:rPr>
                <w:sz w:val="18"/>
              </w:rPr>
              <w:t>47,9 %</w:t>
            </w:r>
          </w:p>
        </w:tc>
        <w:tc>
          <w:tcPr>
            <w:tcW w:type="dxa" w:w="1440"/>
            <w:shd w:val="clear" w:fill="E2EFDA"/>
          </w:tcPr>
          <w:p>
            <w:r>
              <w:rPr>
                <w:sz w:val="18"/>
              </w:rPr>
              <w:t>WES baja el consumo</w:t>
            </w:r>
          </w:p>
        </w:tc>
      </w:tr>
      <w:tr>
        <w:tc>
          <w:tcPr>
            <w:tcW w:type="dxa" w:w="1440"/>
          </w:tcPr>
          <w:p>
            <w:r>
              <w:rPr>
                <w:sz w:val="18"/>
              </w:rPr>
              <w:t>Esc. Lo Velásquez</w:t>
            </w:r>
          </w:p>
        </w:tc>
        <w:tc>
          <w:tcPr>
            <w:tcW w:type="dxa" w:w="1440"/>
          </w:tcPr>
          <w:p>
            <w:r>
              <w:rPr>
                <w:sz w:val="18"/>
              </w:rPr>
              <w:t>35,5</w:t>
            </w:r>
          </w:p>
        </w:tc>
        <w:tc>
          <w:tcPr>
            <w:tcW w:type="dxa" w:w="1440"/>
          </w:tcPr>
          <w:p>
            <w:r>
              <w:rPr>
                <w:sz w:val="18"/>
              </w:rPr>
              <w:t>23,4</w:t>
            </w:r>
          </w:p>
        </w:tc>
        <w:tc>
          <w:tcPr>
            <w:tcW w:type="dxa" w:w="1440"/>
          </w:tcPr>
          <w:p>
            <w:r>
              <w:rPr>
                <w:sz w:val="18"/>
              </w:rPr>
              <w:t>-12</w:t>
            </w:r>
          </w:p>
        </w:tc>
        <w:tc>
          <w:tcPr>
            <w:tcW w:type="dxa" w:w="1440"/>
          </w:tcPr>
          <w:p>
            <w:r>
              <w:rPr>
                <w:sz w:val="18"/>
              </w:rPr>
              <w:t>-51,4 %</w:t>
            </w:r>
          </w:p>
        </w:tc>
        <w:tc>
          <w:tcPr>
            <w:tcW w:type="dxa" w:w="1440"/>
          </w:tcPr>
          <w:p>
            <w:r>
              <w:rPr>
                <w:sz w:val="18"/>
              </w:rPr>
              <w:t>Sin WES no gasta más</w:t>
            </w:r>
          </w:p>
        </w:tc>
      </w:tr>
      <w:tr>
        <w:tc>
          <w:tcPr>
            <w:tcW w:type="dxa" w:w="1440"/>
          </w:tcPr>
          <w:p>
            <w:r>
              <w:rPr>
                <w:sz w:val="18"/>
              </w:rPr>
              <w:t>Gimnasio municipal</w:t>
            </w:r>
          </w:p>
        </w:tc>
        <w:tc>
          <w:tcPr>
            <w:tcW w:type="dxa" w:w="1440"/>
          </w:tcPr>
          <w:p>
            <w:r>
              <w:rPr>
                <w:sz w:val="18"/>
              </w:rPr>
              <w:t>36,3</w:t>
            </w:r>
          </w:p>
        </w:tc>
        <w:tc>
          <w:tcPr>
            <w:tcW w:type="dxa" w:w="1440"/>
          </w:tcPr>
          <w:p>
            <w:r>
              <w:rPr>
                <w:sz w:val="18"/>
              </w:rPr>
              <w:t>22,4</w:t>
            </w:r>
          </w:p>
        </w:tc>
        <w:tc>
          <w:tcPr>
            <w:tcW w:type="dxa" w:w="1440"/>
          </w:tcPr>
          <w:p>
            <w:r>
              <w:rPr>
                <w:sz w:val="18"/>
              </w:rPr>
              <w:t>-13,9</w:t>
            </w:r>
          </w:p>
        </w:tc>
        <w:tc>
          <w:tcPr>
            <w:tcW w:type="dxa" w:w="1440"/>
          </w:tcPr>
          <w:p>
            <w:r>
              <w:rPr>
                <w:sz w:val="18"/>
              </w:rPr>
              <w:t>-62,3 %</w:t>
            </w:r>
          </w:p>
        </w:tc>
        <w:tc>
          <w:tcPr>
            <w:tcW w:type="dxa" w:w="1440"/>
          </w:tcPr>
          <w:p>
            <w:r>
              <w:rPr>
                <w:sz w:val="18"/>
              </w:rPr>
              <w:t>Sin WES no gasta más</w:t>
            </w:r>
          </w:p>
        </w:tc>
      </w:tr>
      <w:tr>
        <w:tc>
          <w:tcPr>
            <w:tcW w:type="dxa" w:w="1440"/>
            <w:shd w:val="clear" w:fill="E2EFDA"/>
          </w:tcPr>
          <w:p>
            <w:r>
              <w:rPr>
                <w:sz w:val="18"/>
              </w:rPr>
              <w:t>Piscina municipal</w:t>
            </w:r>
          </w:p>
        </w:tc>
        <w:tc>
          <w:tcPr>
            <w:tcW w:type="dxa" w:w="1440"/>
            <w:shd w:val="clear" w:fill="E2EFDA"/>
          </w:tcPr>
          <w:p>
            <w:r>
              <w:rPr>
                <w:sz w:val="18"/>
              </w:rPr>
              <w:t>135,1</w:t>
            </w:r>
          </w:p>
        </w:tc>
        <w:tc>
          <w:tcPr>
            <w:tcW w:type="dxa" w:w="1440"/>
            <w:shd w:val="clear" w:fill="E2EFDA"/>
          </w:tcPr>
          <w:p>
            <w:r>
              <w:rPr>
                <w:sz w:val="18"/>
              </w:rPr>
              <w:t>259,8</w:t>
            </w:r>
          </w:p>
        </w:tc>
        <w:tc>
          <w:tcPr>
            <w:tcW w:type="dxa" w:w="1440"/>
            <w:shd w:val="clear" w:fill="E2EFDA"/>
          </w:tcPr>
          <w:p>
            <w:r>
              <w:rPr>
                <w:sz w:val="18"/>
              </w:rPr>
              <w:t>124,7</w:t>
            </w:r>
          </w:p>
        </w:tc>
        <w:tc>
          <w:tcPr>
            <w:tcW w:type="dxa" w:w="1440"/>
            <w:shd w:val="clear" w:fill="E2EFDA"/>
          </w:tcPr>
          <w:p>
            <w:r>
              <w:rPr>
                <w:sz w:val="18"/>
              </w:rPr>
              <w:t>48 %</w:t>
            </w:r>
          </w:p>
        </w:tc>
        <w:tc>
          <w:tcPr>
            <w:tcW w:type="dxa" w:w="1440"/>
            <w:shd w:val="clear" w:fill="E2EFDA"/>
          </w:tcPr>
          <w:p>
            <w:r>
              <w:rPr>
                <w:sz w:val="18"/>
              </w:rPr>
              <w:t>WES baja el consumo</w:t>
            </w:r>
          </w:p>
        </w:tc>
      </w:tr>
      <w:tr>
        <w:tc>
          <w:tcPr>
            <w:tcW w:type="dxa" w:w="1440"/>
            <w:shd w:val="clear" w:fill="D6DCE4"/>
          </w:tcPr>
          <w:p>
            <w:r>
              <w:rPr>
                <w:b/>
                <w:sz w:val="18"/>
              </w:rPr>
              <w:t>Total 4 puntos</w:t>
            </w:r>
          </w:p>
        </w:tc>
        <w:tc>
          <w:tcPr>
            <w:tcW w:type="dxa" w:w="1440"/>
            <w:shd w:val="clear" w:fill="D6DCE4"/>
          </w:tcPr>
          <w:p>
            <w:r>
              <w:rPr>
                <w:b/>
                <w:sz w:val="18"/>
              </w:rPr>
              <w:t>270,2</w:t>
            </w:r>
          </w:p>
        </w:tc>
        <w:tc>
          <w:tcPr>
            <w:tcW w:type="dxa" w:w="1440"/>
            <w:shd w:val="clear" w:fill="D6DCE4"/>
          </w:tcPr>
          <w:p>
            <w:r>
              <w:rPr>
                <w:b/>
                <w:sz w:val="18"/>
              </w:rPr>
              <w:t>427,2</w:t>
            </w:r>
          </w:p>
        </w:tc>
        <w:tc>
          <w:tcPr>
            <w:tcW w:type="dxa" w:w="1440"/>
            <w:shd w:val="clear" w:fill="D6DCE4"/>
          </w:tcPr>
          <w:p>
            <w:r>
              <w:rPr>
                <w:b/>
                <w:sz w:val="18"/>
              </w:rPr>
              <w:t>157</w:t>
            </w:r>
          </w:p>
        </w:tc>
        <w:tc>
          <w:tcPr>
            <w:tcW w:type="dxa" w:w="1440"/>
            <w:shd w:val="clear" w:fill="D6DCE4"/>
          </w:tcPr>
          <w:p>
            <w:r>
              <w:rPr>
                <w:b/>
                <w:sz w:val="18"/>
              </w:rPr>
              <w:t>36,8 %</w:t>
            </w:r>
          </w:p>
        </w:tc>
        <w:tc>
          <w:tcPr>
            <w:tcW w:type="dxa" w:w="1440"/>
            <w:shd w:val="clear" w:fill="D6DCE4"/>
          </w:tcPr>
          <w:p>
            <w:r>
              <w:rPr>
                <w:b/>
                <w:sz w:val="18"/>
              </w:rPr>
            </w:r>
          </w:p>
        </w:tc>
      </w:tr>
    </w:tbl>
    <w:p>
      <w:pPr>
        <w:pStyle w:val="Heading1"/>
      </w:pPr>
      <w:r>
        <w:t>ICCP (Cumbre de Cóndores pte.)</w:t>
      </w:r>
    </w:p>
    <w:p>
      <w:r>
        <w:t>Con WES 63,3 m³ vs Sin WES 121,6 m³ → 47,9 % (58,3 m³).</w:t>
      </w:r>
    </w:p>
    <w:p>
      <w:r>
        <w:drawing>
          <wp:inline xmlns:a="http://schemas.openxmlformats.org/drawingml/2006/main" xmlns:pic="http://schemas.openxmlformats.org/drawingml/2006/picture">
            <wp:extent cx="4500000" cy="3197483"/>
            <wp:docPr id="3" name="Picture 3"/>
            <wp:cNvGraphicFramePr>
              <a:graphicFrameLocks noChangeAspect="1"/>
            </wp:cNvGraphicFramePr>
            <a:graphic>
              <a:graphicData uri="http://schemas.openxmlformats.org/drawingml/2006/picture">
                <pic:pic>
                  <pic:nvPicPr>
                    <pic:cNvPr id="0" name="02_barras_total_rejilla_por_periodo.png"/>
                    <pic:cNvPicPr/>
                  </pic:nvPicPr>
                  <pic:blipFill>
                    <a:blip r:embed="rId12"/>
                    <a:stretch>
                      <a:fillRect/>
                    </a:stretch>
                  </pic:blipFill>
                  <pic:spPr>
                    <a:xfrm>
                      <a:off x="0" y="0"/>
                      <a:ext cx="4500000" cy="3197483"/>
                    </a:xfrm>
                    <a:prstGeom prst="rect"/>
                  </pic:spPr>
                </pic:pic>
              </a:graphicData>
            </a:graphic>
          </wp:inline>
        </w:drawing>
      </w:r>
    </w:p>
    <w:p>
      <w:r>
        <w:drawing>
          <wp:inline xmlns:a="http://schemas.openxmlformats.org/drawingml/2006/main" xmlns:pic="http://schemas.openxmlformats.org/drawingml/2006/picture">
            <wp:extent cx="5760000" cy="2857101"/>
            <wp:docPr id="4" name="Picture 4"/>
            <wp:cNvGraphicFramePr>
              <a:graphicFrameLocks noChangeAspect="1"/>
            </wp:cNvGraphicFramePr>
            <a:graphic>
              <a:graphicData uri="http://schemas.openxmlformats.org/drawingml/2006/picture">
                <pic:pic>
                  <pic:nvPicPr>
                    <pic:cNvPr id="0" name="04_area_Lunes.png"/>
                    <pic:cNvPicPr/>
                  </pic:nvPicPr>
                  <pic:blipFill>
                    <a:blip r:embed="rId13"/>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5" name="Picture 5"/>
            <wp:cNvGraphicFramePr>
              <a:graphicFrameLocks noChangeAspect="1"/>
            </wp:cNvGraphicFramePr>
            <a:graphic>
              <a:graphicData uri="http://schemas.openxmlformats.org/drawingml/2006/picture">
                <pic:pic>
                  <pic:nvPicPr>
                    <pic:cNvPr id="0" name="05_area_Martes.png"/>
                    <pic:cNvPicPr/>
                  </pic:nvPicPr>
                  <pic:blipFill>
                    <a:blip r:embed="rId14"/>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8849"/>
            <wp:docPr id="6" name="Picture 6"/>
            <wp:cNvGraphicFramePr>
              <a:graphicFrameLocks noChangeAspect="1"/>
            </wp:cNvGraphicFramePr>
            <a:graphic>
              <a:graphicData uri="http://schemas.openxmlformats.org/drawingml/2006/picture">
                <pic:pic>
                  <pic:nvPicPr>
                    <pic:cNvPr id="0" name="06_area_Miercoles.png"/>
                    <pic:cNvPicPr/>
                  </pic:nvPicPr>
                  <pic:blipFill>
                    <a:blip r:embed="rId15"/>
                    <a:stretch>
                      <a:fillRect/>
                    </a:stretch>
                  </pic:blipFill>
                  <pic:spPr>
                    <a:xfrm>
                      <a:off x="0" y="0"/>
                      <a:ext cx="5760000" cy="2858849"/>
                    </a:xfrm>
                    <a:prstGeom prst="rect"/>
                  </pic:spPr>
                </pic:pic>
              </a:graphicData>
            </a:graphic>
          </wp:inline>
        </w:drawing>
      </w:r>
    </w:p>
    <w:p>
      <w:r>
        <w:drawing>
          <wp:inline xmlns:a="http://schemas.openxmlformats.org/drawingml/2006/main" xmlns:pic="http://schemas.openxmlformats.org/drawingml/2006/picture">
            <wp:extent cx="5760000" cy="2858849"/>
            <wp:docPr id="7" name="Picture 7"/>
            <wp:cNvGraphicFramePr>
              <a:graphicFrameLocks noChangeAspect="1"/>
            </wp:cNvGraphicFramePr>
            <a:graphic>
              <a:graphicData uri="http://schemas.openxmlformats.org/drawingml/2006/picture">
                <pic:pic>
                  <pic:nvPicPr>
                    <pic:cNvPr id="0" name="07_area_Jueves.png"/>
                    <pic:cNvPicPr/>
                  </pic:nvPicPr>
                  <pic:blipFill>
                    <a:blip r:embed="rId16"/>
                    <a:stretch>
                      <a:fillRect/>
                    </a:stretch>
                  </pic:blipFill>
                  <pic:spPr>
                    <a:xfrm>
                      <a:off x="0" y="0"/>
                      <a:ext cx="5760000" cy="2858849"/>
                    </a:xfrm>
                    <a:prstGeom prst="rect"/>
                  </pic:spPr>
                </pic:pic>
              </a:graphicData>
            </a:graphic>
          </wp:inline>
        </w:drawing>
      </w:r>
    </w:p>
    <w:p>
      <w:r>
        <w:drawing>
          <wp:inline xmlns:a="http://schemas.openxmlformats.org/drawingml/2006/main" xmlns:pic="http://schemas.openxmlformats.org/drawingml/2006/picture">
            <wp:extent cx="5760000" cy="2857101"/>
            <wp:docPr id="8" name="Picture 8"/>
            <wp:cNvGraphicFramePr>
              <a:graphicFrameLocks noChangeAspect="1"/>
            </wp:cNvGraphicFramePr>
            <a:graphic>
              <a:graphicData uri="http://schemas.openxmlformats.org/drawingml/2006/picture">
                <pic:pic>
                  <pic:nvPicPr>
                    <pic:cNvPr id="0" name="08_area_Viernes.png"/>
                    <pic:cNvPicPr/>
                  </pic:nvPicPr>
                  <pic:blipFill>
                    <a:blip r:embed="rId17"/>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9" name="Picture 9"/>
            <wp:cNvGraphicFramePr>
              <a:graphicFrameLocks noChangeAspect="1"/>
            </wp:cNvGraphicFramePr>
            <a:graphic>
              <a:graphicData uri="http://schemas.openxmlformats.org/drawingml/2006/picture">
                <pic:pic>
                  <pic:nvPicPr>
                    <pic:cNvPr id="0" name="03_area_promedio_24h.png"/>
                    <pic:cNvPicPr/>
                  </pic:nvPicPr>
                  <pic:blipFill>
                    <a:blip r:embed="rId18"/>
                    <a:stretch>
                      <a:fillRect/>
                    </a:stretch>
                  </pic:blipFill>
                  <pic:spPr>
                    <a:xfrm>
                      <a:off x="0" y="0"/>
                      <a:ext cx="5760000" cy="285710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788"/>
          </w:tcPr>
          <w:p>
            <w:r>
              <w:rPr>
                <w:b/>
                <w:color w:val="FFFFFF"/>
                <w:sz w:val="18"/>
              </w:rPr>
              <w:t>Día homólogo</w:t>
            </w:r>
          </w:p>
        </w:tc>
        <w:tc>
          <w:tcPr>
            <w:tcW w:type="dxa" w:w="1728"/>
            <w:shd w:val="clear" w:fill="1F4788"/>
          </w:tcPr>
          <w:p>
            <w:r>
              <w:rPr>
                <w:b/>
                <w:color w:val="FFFFFF"/>
                <w:sz w:val="18"/>
              </w:rPr>
              <w:t>Con WES (m³)</w:t>
            </w:r>
          </w:p>
        </w:tc>
        <w:tc>
          <w:tcPr>
            <w:tcW w:type="dxa" w:w="1728"/>
            <w:shd w:val="clear" w:fill="1F4788"/>
          </w:tcPr>
          <w:p>
            <w:r>
              <w:rPr>
                <w:b/>
                <w:color w:val="FFFFFF"/>
                <w:sz w:val="18"/>
              </w:rPr>
              <w:t>Sin WES (m³)</w:t>
            </w:r>
          </w:p>
        </w:tc>
        <w:tc>
          <w:tcPr>
            <w:tcW w:type="dxa" w:w="1728"/>
            <w:shd w:val="clear" w:fill="1F4788"/>
          </w:tcPr>
          <w:p>
            <w:r>
              <w:rPr>
                <w:b/>
                <w:color w:val="FFFFFF"/>
                <w:sz w:val="18"/>
              </w:rPr>
              <w:t>Ahorro (m³)</w:t>
            </w:r>
          </w:p>
        </w:tc>
        <w:tc>
          <w:tcPr>
            <w:tcW w:type="dxa" w:w="1728"/>
            <w:shd w:val="clear" w:fill="1F4788"/>
          </w:tcPr>
          <w:p>
            <w:r>
              <w:rPr>
                <w:b/>
                <w:color w:val="FFFFFF"/>
                <w:sz w:val="18"/>
              </w:rPr>
              <w:t>%</w:t>
            </w:r>
          </w:p>
        </w:tc>
      </w:tr>
      <w:tr>
        <w:tc>
          <w:tcPr>
            <w:tcW w:type="dxa" w:w="1728"/>
          </w:tcPr>
          <w:p>
            <w:r>
              <w:rPr>
                <w:sz w:val="18"/>
              </w:rPr>
              <w:t>Lun 10 vs 17</w:t>
            </w:r>
          </w:p>
        </w:tc>
        <w:tc>
          <w:tcPr>
            <w:tcW w:type="dxa" w:w="1728"/>
          </w:tcPr>
          <w:p>
            <w:r>
              <w:rPr>
                <w:sz w:val="18"/>
              </w:rPr>
              <w:t>16,3</w:t>
            </w:r>
          </w:p>
        </w:tc>
        <w:tc>
          <w:tcPr>
            <w:tcW w:type="dxa" w:w="1728"/>
          </w:tcPr>
          <w:p>
            <w:r>
              <w:rPr>
                <w:sz w:val="18"/>
              </w:rPr>
              <w:t>21,2</w:t>
            </w:r>
          </w:p>
        </w:tc>
        <w:tc>
          <w:tcPr>
            <w:tcW w:type="dxa" w:w="1728"/>
          </w:tcPr>
          <w:p>
            <w:r>
              <w:rPr>
                <w:sz w:val="18"/>
              </w:rPr>
              <w:t>4,9</w:t>
            </w:r>
          </w:p>
        </w:tc>
        <w:tc>
          <w:tcPr>
            <w:tcW w:type="dxa" w:w="1728"/>
          </w:tcPr>
          <w:p>
            <w:r>
              <w:rPr>
                <w:sz w:val="18"/>
              </w:rPr>
              <w:t>23,1 %</w:t>
            </w:r>
          </w:p>
        </w:tc>
      </w:tr>
      <w:tr>
        <w:tc>
          <w:tcPr>
            <w:tcW w:type="dxa" w:w="1728"/>
          </w:tcPr>
          <w:p>
            <w:r>
              <w:rPr>
                <w:sz w:val="18"/>
              </w:rPr>
              <w:t>Mar 11 vs 18</w:t>
            </w:r>
          </w:p>
        </w:tc>
        <w:tc>
          <w:tcPr>
            <w:tcW w:type="dxa" w:w="1728"/>
          </w:tcPr>
          <w:p>
            <w:r>
              <w:rPr>
                <w:sz w:val="18"/>
              </w:rPr>
              <w:t>15,5</w:t>
            </w:r>
          </w:p>
        </w:tc>
        <w:tc>
          <w:tcPr>
            <w:tcW w:type="dxa" w:w="1728"/>
          </w:tcPr>
          <w:p>
            <w:r>
              <w:rPr>
                <w:sz w:val="18"/>
              </w:rPr>
              <w:t>21,4</w:t>
            </w:r>
          </w:p>
        </w:tc>
        <w:tc>
          <w:tcPr>
            <w:tcW w:type="dxa" w:w="1728"/>
          </w:tcPr>
          <w:p>
            <w:r>
              <w:rPr>
                <w:sz w:val="18"/>
              </w:rPr>
              <w:t>5,9</w:t>
            </w:r>
          </w:p>
        </w:tc>
        <w:tc>
          <w:tcPr>
            <w:tcW w:type="dxa" w:w="1728"/>
          </w:tcPr>
          <w:p>
            <w:r>
              <w:rPr>
                <w:sz w:val="18"/>
              </w:rPr>
              <w:t>27,6 %</w:t>
            </w:r>
          </w:p>
        </w:tc>
      </w:tr>
      <w:tr>
        <w:tc>
          <w:tcPr>
            <w:tcW w:type="dxa" w:w="1728"/>
          </w:tcPr>
          <w:p>
            <w:r>
              <w:rPr>
                <w:sz w:val="18"/>
              </w:rPr>
              <w:t>Mié 12 vs 19</w:t>
            </w:r>
          </w:p>
        </w:tc>
        <w:tc>
          <w:tcPr>
            <w:tcW w:type="dxa" w:w="1728"/>
          </w:tcPr>
          <w:p>
            <w:r>
              <w:rPr>
                <w:sz w:val="18"/>
              </w:rPr>
              <w:t>13,5</w:t>
            </w:r>
          </w:p>
        </w:tc>
        <w:tc>
          <w:tcPr>
            <w:tcW w:type="dxa" w:w="1728"/>
          </w:tcPr>
          <w:p>
            <w:r>
              <w:rPr>
                <w:sz w:val="18"/>
              </w:rPr>
              <w:t>49,7</w:t>
            </w:r>
          </w:p>
        </w:tc>
        <w:tc>
          <w:tcPr>
            <w:tcW w:type="dxa" w:w="1728"/>
          </w:tcPr>
          <w:p>
            <w:r>
              <w:rPr>
                <w:sz w:val="18"/>
              </w:rPr>
              <w:t>36,2</w:t>
            </w:r>
          </w:p>
        </w:tc>
        <w:tc>
          <w:tcPr>
            <w:tcW w:type="dxa" w:w="1728"/>
          </w:tcPr>
          <w:p>
            <w:r>
              <w:rPr>
                <w:sz w:val="18"/>
              </w:rPr>
              <w:t>72,8 %</w:t>
            </w:r>
          </w:p>
        </w:tc>
      </w:tr>
      <w:tr>
        <w:tc>
          <w:tcPr>
            <w:tcW w:type="dxa" w:w="1728"/>
          </w:tcPr>
          <w:p>
            <w:r>
              <w:rPr>
                <w:sz w:val="18"/>
              </w:rPr>
              <w:t>Jue 13 vs 20</w:t>
            </w:r>
          </w:p>
        </w:tc>
        <w:tc>
          <w:tcPr>
            <w:tcW w:type="dxa" w:w="1728"/>
          </w:tcPr>
          <w:p>
            <w:r>
              <w:rPr>
                <w:sz w:val="18"/>
              </w:rPr>
              <w:t>14,4</w:t>
            </w:r>
          </w:p>
        </w:tc>
        <w:tc>
          <w:tcPr>
            <w:tcW w:type="dxa" w:w="1728"/>
          </w:tcPr>
          <w:p>
            <w:r>
              <w:rPr>
                <w:sz w:val="18"/>
              </w:rPr>
              <w:t>20,9</w:t>
            </w:r>
          </w:p>
        </w:tc>
        <w:tc>
          <w:tcPr>
            <w:tcW w:type="dxa" w:w="1728"/>
          </w:tcPr>
          <w:p>
            <w:r>
              <w:rPr>
                <w:sz w:val="18"/>
              </w:rPr>
              <w:t>6,5</w:t>
            </w:r>
          </w:p>
        </w:tc>
        <w:tc>
          <w:tcPr>
            <w:tcW w:type="dxa" w:w="1728"/>
          </w:tcPr>
          <w:p>
            <w:r>
              <w:rPr>
                <w:sz w:val="18"/>
              </w:rPr>
              <w:t>31,1 %</w:t>
            </w:r>
          </w:p>
        </w:tc>
      </w:tr>
      <w:tr>
        <w:tc>
          <w:tcPr>
            <w:tcW w:type="dxa" w:w="1728"/>
          </w:tcPr>
          <w:p>
            <w:r>
              <w:rPr>
                <w:sz w:val="18"/>
              </w:rPr>
              <w:t>Vie 14 vs 21 (00:00–11:59)</w:t>
            </w:r>
          </w:p>
        </w:tc>
        <w:tc>
          <w:tcPr>
            <w:tcW w:type="dxa" w:w="1728"/>
          </w:tcPr>
          <w:p>
            <w:r>
              <w:rPr>
                <w:sz w:val="18"/>
              </w:rPr>
              <w:t>3,6</w:t>
            </w:r>
          </w:p>
        </w:tc>
        <w:tc>
          <w:tcPr>
            <w:tcW w:type="dxa" w:w="1728"/>
          </w:tcPr>
          <w:p>
            <w:r>
              <w:rPr>
                <w:sz w:val="18"/>
              </w:rPr>
              <w:t>8,4</w:t>
            </w:r>
          </w:p>
        </w:tc>
        <w:tc>
          <w:tcPr>
            <w:tcW w:type="dxa" w:w="1728"/>
          </w:tcPr>
          <w:p>
            <w:r>
              <w:rPr>
                <w:sz w:val="18"/>
              </w:rPr>
              <w:t>4,8</w:t>
            </w:r>
          </w:p>
        </w:tc>
        <w:tc>
          <w:tcPr>
            <w:tcW w:type="dxa" w:w="1728"/>
          </w:tcPr>
          <w:p>
            <w:r>
              <w:rPr>
                <w:sz w:val="18"/>
              </w:rPr>
              <w:t>57,1 %</w:t>
            </w:r>
          </w:p>
        </w:tc>
      </w:tr>
    </w:tbl>
    <w:p>
      <w:pPr>
        <w:pStyle w:val="Heading1"/>
      </w:pPr>
      <w:r>
        <w:t>Esc. Lo Velásquez</w:t>
      </w:r>
    </w:p>
    <w:p>
      <w:r>
        <w:t>Con WES 35,5 m³ vs Sin WES 23,4 m³ → -51,4 % (-12 m³).</w:t>
      </w:r>
    </w:p>
    <w:p>
      <w:r>
        <w:drawing>
          <wp:inline xmlns:a="http://schemas.openxmlformats.org/drawingml/2006/main" xmlns:pic="http://schemas.openxmlformats.org/drawingml/2006/picture">
            <wp:extent cx="4500000" cy="3194391"/>
            <wp:docPr id="10" name="Picture 10"/>
            <wp:cNvGraphicFramePr>
              <a:graphicFrameLocks noChangeAspect="1"/>
            </wp:cNvGraphicFramePr>
            <a:graphic>
              <a:graphicData uri="http://schemas.openxmlformats.org/drawingml/2006/picture">
                <pic:pic>
                  <pic:nvPicPr>
                    <pic:cNvPr id="0" name="02_barras_total_rejilla_por_periodo.png"/>
                    <pic:cNvPicPr/>
                  </pic:nvPicPr>
                  <pic:blipFill>
                    <a:blip r:embed="rId19"/>
                    <a:stretch>
                      <a:fillRect/>
                    </a:stretch>
                  </pic:blipFill>
                  <pic:spPr>
                    <a:xfrm>
                      <a:off x="0" y="0"/>
                      <a:ext cx="4500000" cy="3194391"/>
                    </a:xfrm>
                    <a:prstGeom prst="rect"/>
                  </pic:spPr>
                </pic:pic>
              </a:graphicData>
            </a:graphic>
          </wp:inline>
        </w:drawing>
      </w:r>
    </w:p>
    <w:p>
      <w:r>
        <w:drawing>
          <wp:inline xmlns:a="http://schemas.openxmlformats.org/drawingml/2006/main" xmlns:pic="http://schemas.openxmlformats.org/drawingml/2006/picture">
            <wp:extent cx="5760000" cy="2857101"/>
            <wp:docPr id="11" name="Picture 11"/>
            <wp:cNvGraphicFramePr>
              <a:graphicFrameLocks noChangeAspect="1"/>
            </wp:cNvGraphicFramePr>
            <a:graphic>
              <a:graphicData uri="http://schemas.openxmlformats.org/drawingml/2006/picture">
                <pic:pic>
                  <pic:nvPicPr>
                    <pic:cNvPr id="0" name="04_area_Lunes.png"/>
                    <pic:cNvPicPr/>
                  </pic:nvPicPr>
                  <pic:blipFill>
                    <a:blip r:embed="rId20"/>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2" name="Picture 12"/>
            <wp:cNvGraphicFramePr>
              <a:graphicFrameLocks noChangeAspect="1"/>
            </wp:cNvGraphicFramePr>
            <a:graphic>
              <a:graphicData uri="http://schemas.openxmlformats.org/drawingml/2006/picture">
                <pic:pic>
                  <pic:nvPicPr>
                    <pic:cNvPr id="0" name="05_area_Martes.png"/>
                    <pic:cNvPicPr/>
                  </pic:nvPicPr>
                  <pic:blipFill>
                    <a:blip r:embed="rId21"/>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3" name="Picture 13"/>
            <wp:cNvGraphicFramePr>
              <a:graphicFrameLocks noChangeAspect="1"/>
            </wp:cNvGraphicFramePr>
            <a:graphic>
              <a:graphicData uri="http://schemas.openxmlformats.org/drawingml/2006/picture">
                <pic:pic>
                  <pic:nvPicPr>
                    <pic:cNvPr id="0" name="06_area_Miercoles.png"/>
                    <pic:cNvPicPr/>
                  </pic:nvPicPr>
                  <pic:blipFill>
                    <a:blip r:embed="rId22"/>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4" name="Picture 14"/>
            <wp:cNvGraphicFramePr>
              <a:graphicFrameLocks noChangeAspect="1"/>
            </wp:cNvGraphicFramePr>
            <a:graphic>
              <a:graphicData uri="http://schemas.openxmlformats.org/drawingml/2006/picture">
                <pic:pic>
                  <pic:nvPicPr>
                    <pic:cNvPr id="0" name="07_area_Jueves.png"/>
                    <pic:cNvPicPr/>
                  </pic:nvPicPr>
                  <pic:blipFill>
                    <a:blip r:embed="rId23"/>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5" name="Picture 15"/>
            <wp:cNvGraphicFramePr>
              <a:graphicFrameLocks noChangeAspect="1"/>
            </wp:cNvGraphicFramePr>
            <a:graphic>
              <a:graphicData uri="http://schemas.openxmlformats.org/drawingml/2006/picture">
                <pic:pic>
                  <pic:nvPicPr>
                    <pic:cNvPr id="0" name="08_area_Viernes.png"/>
                    <pic:cNvPicPr/>
                  </pic:nvPicPr>
                  <pic:blipFill>
                    <a:blip r:embed="rId24"/>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16" name="Picture 16"/>
            <wp:cNvGraphicFramePr>
              <a:graphicFrameLocks noChangeAspect="1"/>
            </wp:cNvGraphicFramePr>
            <a:graphic>
              <a:graphicData uri="http://schemas.openxmlformats.org/drawingml/2006/picture">
                <pic:pic>
                  <pic:nvPicPr>
                    <pic:cNvPr id="0" name="03_area_promedio_24h.png"/>
                    <pic:cNvPicPr/>
                  </pic:nvPicPr>
                  <pic:blipFill>
                    <a:blip r:embed="rId25"/>
                    <a:stretch>
                      <a:fillRect/>
                    </a:stretch>
                  </pic:blipFill>
                  <pic:spPr>
                    <a:xfrm>
                      <a:off x="0" y="0"/>
                      <a:ext cx="5760000" cy="285710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788"/>
          </w:tcPr>
          <w:p>
            <w:r>
              <w:rPr>
                <w:b/>
                <w:color w:val="FFFFFF"/>
                <w:sz w:val="18"/>
              </w:rPr>
              <w:t>Día homólogo</w:t>
            </w:r>
          </w:p>
        </w:tc>
        <w:tc>
          <w:tcPr>
            <w:tcW w:type="dxa" w:w="1728"/>
            <w:shd w:val="clear" w:fill="1F4788"/>
          </w:tcPr>
          <w:p>
            <w:r>
              <w:rPr>
                <w:b/>
                <w:color w:val="FFFFFF"/>
                <w:sz w:val="18"/>
              </w:rPr>
              <w:t>Con WES (m³)</w:t>
            </w:r>
          </w:p>
        </w:tc>
        <w:tc>
          <w:tcPr>
            <w:tcW w:type="dxa" w:w="1728"/>
            <w:shd w:val="clear" w:fill="1F4788"/>
          </w:tcPr>
          <w:p>
            <w:r>
              <w:rPr>
                <w:b/>
                <w:color w:val="FFFFFF"/>
                <w:sz w:val="18"/>
              </w:rPr>
              <w:t>Sin WES (m³)</w:t>
            </w:r>
          </w:p>
        </w:tc>
        <w:tc>
          <w:tcPr>
            <w:tcW w:type="dxa" w:w="1728"/>
            <w:shd w:val="clear" w:fill="1F4788"/>
          </w:tcPr>
          <w:p>
            <w:r>
              <w:rPr>
                <w:b/>
                <w:color w:val="FFFFFF"/>
                <w:sz w:val="18"/>
              </w:rPr>
              <w:t>Ahorro (m³)</w:t>
            </w:r>
          </w:p>
        </w:tc>
        <w:tc>
          <w:tcPr>
            <w:tcW w:type="dxa" w:w="1728"/>
            <w:shd w:val="clear" w:fill="1F4788"/>
          </w:tcPr>
          <w:p>
            <w:r>
              <w:rPr>
                <w:b/>
                <w:color w:val="FFFFFF"/>
                <w:sz w:val="18"/>
              </w:rPr>
              <w:t>%</w:t>
            </w:r>
          </w:p>
        </w:tc>
      </w:tr>
      <w:tr>
        <w:tc>
          <w:tcPr>
            <w:tcW w:type="dxa" w:w="1728"/>
          </w:tcPr>
          <w:p>
            <w:r>
              <w:rPr>
                <w:sz w:val="18"/>
              </w:rPr>
              <w:t>Lun 10 vs 17</w:t>
            </w:r>
          </w:p>
        </w:tc>
        <w:tc>
          <w:tcPr>
            <w:tcW w:type="dxa" w:w="1728"/>
          </w:tcPr>
          <w:p>
            <w:r>
              <w:rPr>
                <w:sz w:val="18"/>
              </w:rPr>
              <w:t>7,8</w:t>
            </w:r>
          </w:p>
        </w:tc>
        <w:tc>
          <w:tcPr>
            <w:tcW w:type="dxa" w:w="1728"/>
          </w:tcPr>
          <w:p>
            <w:r>
              <w:rPr>
                <w:sz w:val="18"/>
              </w:rPr>
              <w:t>4,9</w:t>
            </w:r>
          </w:p>
        </w:tc>
        <w:tc>
          <w:tcPr>
            <w:tcW w:type="dxa" w:w="1728"/>
          </w:tcPr>
          <w:p>
            <w:r>
              <w:rPr>
                <w:sz w:val="18"/>
              </w:rPr>
              <w:t>-2,9</w:t>
            </w:r>
          </w:p>
        </w:tc>
        <w:tc>
          <w:tcPr>
            <w:tcW w:type="dxa" w:w="1728"/>
          </w:tcPr>
          <w:p>
            <w:r>
              <w:rPr>
                <w:sz w:val="18"/>
              </w:rPr>
              <w:t>-58,9 %</w:t>
            </w:r>
          </w:p>
        </w:tc>
      </w:tr>
      <w:tr>
        <w:tc>
          <w:tcPr>
            <w:tcW w:type="dxa" w:w="1728"/>
          </w:tcPr>
          <w:p>
            <w:r>
              <w:rPr>
                <w:sz w:val="18"/>
              </w:rPr>
              <w:t>Mar 11 vs 18</w:t>
            </w:r>
          </w:p>
        </w:tc>
        <w:tc>
          <w:tcPr>
            <w:tcW w:type="dxa" w:w="1728"/>
          </w:tcPr>
          <w:p>
            <w:r>
              <w:rPr>
                <w:sz w:val="18"/>
              </w:rPr>
              <w:t>7,5</w:t>
            </w:r>
          </w:p>
        </w:tc>
        <w:tc>
          <w:tcPr>
            <w:tcW w:type="dxa" w:w="1728"/>
          </w:tcPr>
          <w:p>
            <w:r>
              <w:rPr>
                <w:sz w:val="18"/>
              </w:rPr>
              <w:t>5,9</w:t>
            </w:r>
          </w:p>
        </w:tc>
        <w:tc>
          <w:tcPr>
            <w:tcW w:type="dxa" w:w="1728"/>
          </w:tcPr>
          <w:p>
            <w:r>
              <w:rPr>
                <w:sz w:val="18"/>
              </w:rPr>
              <w:t>-1,7</w:t>
            </w:r>
          </w:p>
        </w:tc>
        <w:tc>
          <w:tcPr>
            <w:tcW w:type="dxa" w:w="1728"/>
          </w:tcPr>
          <w:p>
            <w:r>
              <w:rPr>
                <w:sz w:val="18"/>
              </w:rPr>
              <w:t>-28,5 %</w:t>
            </w:r>
          </w:p>
        </w:tc>
      </w:tr>
      <w:tr>
        <w:tc>
          <w:tcPr>
            <w:tcW w:type="dxa" w:w="1728"/>
          </w:tcPr>
          <w:p>
            <w:r>
              <w:rPr>
                <w:sz w:val="18"/>
              </w:rPr>
              <w:t>Mié 12 vs 19</w:t>
            </w:r>
          </w:p>
        </w:tc>
        <w:tc>
          <w:tcPr>
            <w:tcW w:type="dxa" w:w="1728"/>
          </w:tcPr>
          <w:p>
            <w:r>
              <w:rPr>
                <w:sz w:val="18"/>
              </w:rPr>
              <w:t>7,4</w:t>
            </w:r>
          </w:p>
        </w:tc>
        <w:tc>
          <w:tcPr>
            <w:tcW w:type="dxa" w:w="1728"/>
          </w:tcPr>
          <w:p>
            <w:r>
              <w:rPr>
                <w:sz w:val="18"/>
              </w:rPr>
              <w:t>5,6</w:t>
            </w:r>
          </w:p>
        </w:tc>
        <w:tc>
          <w:tcPr>
            <w:tcW w:type="dxa" w:w="1728"/>
          </w:tcPr>
          <w:p>
            <w:r>
              <w:rPr>
                <w:sz w:val="18"/>
              </w:rPr>
              <w:t>-1,8</w:t>
            </w:r>
          </w:p>
        </w:tc>
        <w:tc>
          <w:tcPr>
            <w:tcW w:type="dxa" w:w="1728"/>
          </w:tcPr>
          <w:p>
            <w:r>
              <w:rPr>
                <w:sz w:val="18"/>
              </w:rPr>
              <w:t>-32,6 %</w:t>
            </w:r>
          </w:p>
        </w:tc>
      </w:tr>
      <w:tr>
        <w:tc>
          <w:tcPr>
            <w:tcW w:type="dxa" w:w="1728"/>
          </w:tcPr>
          <w:p>
            <w:r>
              <w:rPr>
                <w:sz w:val="18"/>
              </w:rPr>
              <w:t>Jue 13 vs 20</w:t>
            </w:r>
          </w:p>
        </w:tc>
        <w:tc>
          <w:tcPr>
            <w:tcW w:type="dxa" w:w="1728"/>
          </w:tcPr>
          <w:p>
            <w:r>
              <w:rPr>
                <w:sz w:val="18"/>
              </w:rPr>
              <w:t>8,8</w:t>
            </w:r>
          </w:p>
        </w:tc>
        <w:tc>
          <w:tcPr>
            <w:tcW w:type="dxa" w:w="1728"/>
          </w:tcPr>
          <w:p>
            <w:r>
              <w:rPr>
                <w:sz w:val="18"/>
              </w:rPr>
              <w:t>5,5</w:t>
            </w:r>
          </w:p>
        </w:tc>
        <w:tc>
          <w:tcPr>
            <w:tcW w:type="dxa" w:w="1728"/>
          </w:tcPr>
          <w:p>
            <w:r>
              <w:rPr>
                <w:sz w:val="18"/>
              </w:rPr>
              <w:t>-3,2</w:t>
            </w:r>
          </w:p>
        </w:tc>
        <w:tc>
          <w:tcPr>
            <w:tcW w:type="dxa" w:w="1728"/>
          </w:tcPr>
          <w:p>
            <w:r>
              <w:rPr>
                <w:sz w:val="18"/>
              </w:rPr>
              <w:t>-58,5 %</w:t>
            </w:r>
          </w:p>
        </w:tc>
      </w:tr>
      <w:tr>
        <w:tc>
          <w:tcPr>
            <w:tcW w:type="dxa" w:w="1728"/>
          </w:tcPr>
          <w:p>
            <w:r>
              <w:rPr>
                <w:sz w:val="18"/>
              </w:rPr>
              <w:t>Vie 14 vs 21 (00:00–11:59)</w:t>
            </w:r>
          </w:p>
        </w:tc>
        <w:tc>
          <w:tcPr>
            <w:tcW w:type="dxa" w:w="1728"/>
          </w:tcPr>
          <w:p>
            <w:r>
              <w:rPr>
                <w:sz w:val="18"/>
              </w:rPr>
              <w:t>4,1</w:t>
            </w:r>
          </w:p>
        </w:tc>
        <w:tc>
          <w:tcPr>
            <w:tcW w:type="dxa" w:w="1728"/>
          </w:tcPr>
          <w:p>
            <w:r>
              <w:rPr>
                <w:sz w:val="18"/>
              </w:rPr>
              <w:t>1,6</w:t>
            </w:r>
          </w:p>
        </w:tc>
        <w:tc>
          <w:tcPr>
            <w:tcW w:type="dxa" w:w="1728"/>
          </w:tcPr>
          <w:p>
            <w:r>
              <w:rPr>
                <w:sz w:val="18"/>
              </w:rPr>
              <w:t>-2,4</w:t>
            </w:r>
          </w:p>
        </w:tc>
        <w:tc>
          <w:tcPr>
            <w:tcW w:type="dxa" w:w="1728"/>
          </w:tcPr>
          <w:p>
            <w:r>
              <w:rPr>
                <w:sz w:val="18"/>
              </w:rPr>
              <w:t>-152,2 %</w:t>
            </w:r>
          </w:p>
        </w:tc>
      </w:tr>
    </w:tbl>
    <w:p>
      <w:pPr>
        <w:pStyle w:val="Heading1"/>
      </w:pPr>
      <w:r>
        <w:t>Gimnasio municipal</w:t>
      </w:r>
    </w:p>
    <w:p>
      <w:r>
        <w:t>Con WES 36,3 m³ vs Sin WES 22,4 m³ → -62,3 % (-13,9 m³).</w:t>
      </w:r>
    </w:p>
    <w:p>
      <w:r>
        <w:drawing>
          <wp:inline xmlns:a="http://schemas.openxmlformats.org/drawingml/2006/main" xmlns:pic="http://schemas.openxmlformats.org/drawingml/2006/picture">
            <wp:extent cx="4500000" cy="3194391"/>
            <wp:docPr id="17" name="Picture 17"/>
            <wp:cNvGraphicFramePr>
              <a:graphicFrameLocks noChangeAspect="1"/>
            </wp:cNvGraphicFramePr>
            <a:graphic>
              <a:graphicData uri="http://schemas.openxmlformats.org/drawingml/2006/picture">
                <pic:pic>
                  <pic:nvPicPr>
                    <pic:cNvPr id="0" name="02_barras_total_rejilla_por_periodo.png"/>
                    <pic:cNvPicPr/>
                  </pic:nvPicPr>
                  <pic:blipFill>
                    <a:blip r:embed="rId26"/>
                    <a:stretch>
                      <a:fillRect/>
                    </a:stretch>
                  </pic:blipFill>
                  <pic:spPr>
                    <a:xfrm>
                      <a:off x="0" y="0"/>
                      <a:ext cx="4500000" cy="3194391"/>
                    </a:xfrm>
                    <a:prstGeom prst="rect"/>
                  </pic:spPr>
                </pic:pic>
              </a:graphicData>
            </a:graphic>
          </wp:inline>
        </w:drawing>
      </w:r>
    </w:p>
    <w:p>
      <w:r>
        <w:drawing>
          <wp:inline xmlns:a="http://schemas.openxmlformats.org/drawingml/2006/main" xmlns:pic="http://schemas.openxmlformats.org/drawingml/2006/picture">
            <wp:extent cx="5760000" cy="2857101"/>
            <wp:docPr id="18" name="Picture 18"/>
            <wp:cNvGraphicFramePr>
              <a:graphicFrameLocks noChangeAspect="1"/>
            </wp:cNvGraphicFramePr>
            <a:graphic>
              <a:graphicData uri="http://schemas.openxmlformats.org/drawingml/2006/picture">
                <pic:pic>
                  <pic:nvPicPr>
                    <pic:cNvPr id="0" name="04_area_Lunes.png"/>
                    <pic:cNvPicPr/>
                  </pic:nvPicPr>
                  <pic:blipFill>
                    <a:blip r:embed="rId27"/>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8849"/>
            <wp:docPr id="19" name="Picture 19"/>
            <wp:cNvGraphicFramePr>
              <a:graphicFrameLocks noChangeAspect="1"/>
            </wp:cNvGraphicFramePr>
            <a:graphic>
              <a:graphicData uri="http://schemas.openxmlformats.org/drawingml/2006/picture">
                <pic:pic>
                  <pic:nvPicPr>
                    <pic:cNvPr id="0" name="05_area_Martes.png"/>
                    <pic:cNvPicPr/>
                  </pic:nvPicPr>
                  <pic:blipFill>
                    <a:blip r:embed="rId28"/>
                    <a:stretch>
                      <a:fillRect/>
                    </a:stretch>
                  </pic:blipFill>
                  <pic:spPr>
                    <a:xfrm>
                      <a:off x="0" y="0"/>
                      <a:ext cx="5760000" cy="2858849"/>
                    </a:xfrm>
                    <a:prstGeom prst="rect"/>
                  </pic:spPr>
                </pic:pic>
              </a:graphicData>
            </a:graphic>
          </wp:inline>
        </w:drawing>
      </w:r>
    </w:p>
    <w:p>
      <w:r>
        <w:drawing>
          <wp:inline xmlns:a="http://schemas.openxmlformats.org/drawingml/2006/main" xmlns:pic="http://schemas.openxmlformats.org/drawingml/2006/picture">
            <wp:extent cx="5760000" cy="2857101"/>
            <wp:docPr id="20" name="Picture 20"/>
            <wp:cNvGraphicFramePr>
              <a:graphicFrameLocks noChangeAspect="1"/>
            </wp:cNvGraphicFramePr>
            <a:graphic>
              <a:graphicData uri="http://schemas.openxmlformats.org/drawingml/2006/picture">
                <pic:pic>
                  <pic:nvPicPr>
                    <pic:cNvPr id="0" name="06_area_Miercoles.png"/>
                    <pic:cNvPicPr/>
                  </pic:nvPicPr>
                  <pic:blipFill>
                    <a:blip r:embed="rId29"/>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1" name="Picture 21"/>
            <wp:cNvGraphicFramePr>
              <a:graphicFrameLocks noChangeAspect="1"/>
            </wp:cNvGraphicFramePr>
            <a:graphic>
              <a:graphicData uri="http://schemas.openxmlformats.org/drawingml/2006/picture">
                <pic:pic>
                  <pic:nvPicPr>
                    <pic:cNvPr id="0" name="07_area_Jueves.png"/>
                    <pic:cNvPicPr/>
                  </pic:nvPicPr>
                  <pic:blipFill>
                    <a:blip r:embed="rId30"/>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2" name="Picture 22"/>
            <wp:cNvGraphicFramePr>
              <a:graphicFrameLocks noChangeAspect="1"/>
            </wp:cNvGraphicFramePr>
            <a:graphic>
              <a:graphicData uri="http://schemas.openxmlformats.org/drawingml/2006/picture">
                <pic:pic>
                  <pic:nvPicPr>
                    <pic:cNvPr id="0" name="08_area_Viernes.png"/>
                    <pic:cNvPicPr/>
                  </pic:nvPicPr>
                  <pic:blipFill>
                    <a:blip r:embed="rId31"/>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3" name="Picture 23"/>
            <wp:cNvGraphicFramePr>
              <a:graphicFrameLocks noChangeAspect="1"/>
            </wp:cNvGraphicFramePr>
            <a:graphic>
              <a:graphicData uri="http://schemas.openxmlformats.org/drawingml/2006/picture">
                <pic:pic>
                  <pic:nvPicPr>
                    <pic:cNvPr id="0" name="03_area_promedio_24h.png"/>
                    <pic:cNvPicPr/>
                  </pic:nvPicPr>
                  <pic:blipFill>
                    <a:blip r:embed="rId32"/>
                    <a:stretch>
                      <a:fillRect/>
                    </a:stretch>
                  </pic:blipFill>
                  <pic:spPr>
                    <a:xfrm>
                      <a:off x="0" y="0"/>
                      <a:ext cx="5760000" cy="285710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788"/>
          </w:tcPr>
          <w:p>
            <w:r>
              <w:rPr>
                <w:b/>
                <w:color w:val="FFFFFF"/>
                <w:sz w:val="18"/>
              </w:rPr>
              <w:t>Día homólogo</w:t>
            </w:r>
          </w:p>
        </w:tc>
        <w:tc>
          <w:tcPr>
            <w:tcW w:type="dxa" w:w="1728"/>
            <w:shd w:val="clear" w:fill="1F4788"/>
          </w:tcPr>
          <w:p>
            <w:r>
              <w:rPr>
                <w:b/>
                <w:color w:val="FFFFFF"/>
                <w:sz w:val="18"/>
              </w:rPr>
              <w:t>Con WES (m³)</w:t>
            </w:r>
          </w:p>
        </w:tc>
        <w:tc>
          <w:tcPr>
            <w:tcW w:type="dxa" w:w="1728"/>
            <w:shd w:val="clear" w:fill="1F4788"/>
          </w:tcPr>
          <w:p>
            <w:r>
              <w:rPr>
                <w:b/>
                <w:color w:val="FFFFFF"/>
                <w:sz w:val="18"/>
              </w:rPr>
              <w:t>Sin WES (m³)</w:t>
            </w:r>
          </w:p>
        </w:tc>
        <w:tc>
          <w:tcPr>
            <w:tcW w:type="dxa" w:w="1728"/>
            <w:shd w:val="clear" w:fill="1F4788"/>
          </w:tcPr>
          <w:p>
            <w:r>
              <w:rPr>
                <w:b/>
                <w:color w:val="FFFFFF"/>
                <w:sz w:val="18"/>
              </w:rPr>
              <w:t>Ahorro (m³)</w:t>
            </w:r>
          </w:p>
        </w:tc>
        <w:tc>
          <w:tcPr>
            <w:tcW w:type="dxa" w:w="1728"/>
            <w:shd w:val="clear" w:fill="1F4788"/>
          </w:tcPr>
          <w:p>
            <w:r>
              <w:rPr>
                <w:b/>
                <w:color w:val="FFFFFF"/>
                <w:sz w:val="18"/>
              </w:rPr>
              <w:t>%</w:t>
            </w:r>
          </w:p>
        </w:tc>
      </w:tr>
      <w:tr>
        <w:tc>
          <w:tcPr>
            <w:tcW w:type="dxa" w:w="1728"/>
          </w:tcPr>
          <w:p>
            <w:r>
              <w:rPr>
                <w:sz w:val="18"/>
              </w:rPr>
              <w:t>Lun 10 vs 17</w:t>
            </w:r>
          </w:p>
        </w:tc>
        <w:tc>
          <w:tcPr>
            <w:tcW w:type="dxa" w:w="1728"/>
          </w:tcPr>
          <w:p>
            <w:r>
              <w:rPr>
                <w:sz w:val="18"/>
              </w:rPr>
              <w:t>6,3</w:t>
            </w:r>
          </w:p>
        </w:tc>
        <w:tc>
          <w:tcPr>
            <w:tcW w:type="dxa" w:w="1728"/>
          </w:tcPr>
          <w:p>
            <w:r>
              <w:rPr>
                <w:sz w:val="18"/>
              </w:rPr>
              <w:t>8</w:t>
            </w:r>
          </w:p>
        </w:tc>
        <w:tc>
          <w:tcPr>
            <w:tcW w:type="dxa" w:w="1728"/>
          </w:tcPr>
          <w:p>
            <w:r>
              <w:rPr>
                <w:sz w:val="18"/>
              </w:rPr>
              <w:t>1,7</w:t>
            </w:r>
          </w:p>
        </w:tc>
        <w:tc>
          <w:tcPr>
            <w:tcW w:type="dxa" w:w="1728"/>
          </w:tcPr>
          <w:p>
            <w:r>
              <w:rPr>
                <w:sz w:val="18"/>
              </w:rPr>
              <w:t>21,3 %</w:t>
            </w:r>
          </w:p>
        </w:tc>
      </w:tr>
      <w:tr>
        <w:tc>
          <w:tcPr>
            <w:tcW w:type="dxa" w:w="1728"/>
          </w:tcPr>
          <w:p>
            <w:r>
              <w:rPr>
                <w:sz w:val="18"/>
              </w:rPr>
              <w:t>Mar 11 vs 18</w:t>
            </w:r>
          </w:p>
        </w:tc>
        <w:tc>
          <w:tcPr>
            <w:tcW w:type="dxa" w:w="1728"/>
          </w:tcPr>
          <w:p>
            <w:r>
              <w:rPr>
                <w:sz w:val="18"/>
              </w:rPr>
              <w:t>6,9</w:t>
            </w:r>
          </w:p>
        </w:tc>
        <w:tc>
          <w:tcPr>
            <w:tcW w:type="dxa" w:w="1728"/>
          </w:tcPr>
          <w:p>
            <w:r>
              <w:rPr>
                <w:sz w:val="18"/>
              </w:rPr>
              <w:t>5,6</w:t>
            </w:r>
          </w:p>
        </w:tc>
        <w:tc>
          <w:tcPr>
            <w:tcW w:type="dxa" w:w="1728"/>
          </w:tcPr>
          <w:p>
            <w:r>
              <w:rPr>
                <w:sz w:val="18"/>
              </w:rPr>
              <w:t>-1,3</w:t>
            </w:r>
          </w:p>
        </w:tc>
        <w:tc>
          <w:tcPr>
            <w:tcW w:type="dxa" w:w="1728"/>
          </w:tcPr>
          <w:p>
            <w:r>
              <w:rPr>
                <w:sz w:val="18"/>
              </w:rPr>
              <w:t>-23,9 %</w:t>
            </w:r>
          </w:p>
        </w:tc>
      </w:tr>
      <w:tr>
        <w:tc>
          <w:tcPr>
            <w:tcW w:type="dxa" w:w="1728"/>
          </w:tcPr>
          <w:p>
            <w:r>
              <w:rPr>
                <w:sz w:val="18"/>
              </w:rPr>
              <w:t>Mié 12 vs 19</w:t>
            </w:r>
          </w:p>
        </w:tc>
        <w:tc>
          <w:tcPr>
            <w:tcW w:type="dxa" w:w="1728"/>
          </w:tcPr>
          <w:p>
            <w:r>
              <w:rPr>
                <w:sz w:val="18"/>
              </w:rPr>
              <w:t>6,7</w:t>
            </w:r>
          </w:p>
        </w:tc>
        <w:tc>
          <w:tcPr>
            <w:tcW w:type="dxa" w:w="1728"/>
          </w:tcPr>
          <w:p>
            <w:r>
              <w:rPr>
                <w:sz w:val="18"/>
              </w:rPr>
              <w:t>3,6</w:t>
            </w:r>
          </w:p>
        </w:tc>
        <w:tc>
          <w:tcPr>
            <w:tcW w:type="dxa" w:w="1728"/>
          </w:tcPr>
          <w:p>
            <w:r>
              <w:rPr>
                <w:sz w:val="18"/>
              </w:rPr>
              <w:t>-3,1</w:t>
            </w:r>
          </w:p>
        </w:tc>
        <w:tc>
          <w:tcPr>
            <w:tcW w:type="dxa" w:w="1728"/>
          </w:tcPr>
          <w:p>
            <w:r>
              <w:rPr>
                <w:sz w:val="18"/>
              </w:rPr>
              <w:t>-87,7 %</w:t>
            </w:r>
          </w:p>
        </w:tc>
      </w:tr>
      <w:tr>
        <w:tc>
          <w:tcPr>
            <w:tcW w:type="dxa" w:w="1728"/>
          </w:tcPr>
          <w:p>
            <w:r>
              <w:rPr>
                <w:sz w:val="18"/>
              </w:rPr>
              <w:t>Jue 13 vs 20</w:t>
            </w:r>
          </w:p>
        </w:tc>
        <w:tc>
          <w:tcPr>
            <w:tcW w:type="dxa" w:w="1728"/>
          </w:tcPr>
          <w:p>
            <w:r>
              <w:rPr>
                <w:sz w:val="18"/>
              </w:rPr>
              <w:t>10</w:t>
            </w:r>
          </w:p>
        </w:tc>
        <w:tc>
          <w:tcPr>
            <w:tcW w:type="dxa" w:w="1728"/>
          </w:tcPr>
          <w:p>
            <w:r>
              <w:rPr>
                <w:sz w:val="18"/>
              </w:rPr>
              <w:t>3,4</w:t>
            </w:r>
          </w:p>
        </w:tc>
        <w:tc>
          <w:tcPr>
            <w:tcW w:type="dxa" w:w="1728"/>
          </w:tcPr>
          <w:p>
            <w:r>
              <w:rPr>
                <w:sz w:val="18"/>
              </w:rPr>
              <w:t>-6,6</w:t>
            </w:r>
          </w:p>
        </w:tc>
        <w:tc>
          <w:tcPr>
            <w:tcW w:type="dxa" w:w="1728"/>
          </w:tcPr>
          <w:p>
            <w:r>
              <w:rPr>
                <w:sz w:val="18"/>
              </w:rPr>
              <w:t>-193,3 %</w:t>
            </w:r>
          </w:p>
        </w:tc>
      </w:tr>
      <w:tr>
        <w:tc>
          <w:tcPr>
            <w:tcW w:type="dxa" w:w="1728"/>
          </w:tcPr>
          <w:p>
            <w:r>
              <w:rPr>
                <w:sz w:val="18"/>
              </w:rPr>
              <w:t>Vie 14 vs 21 (00:00–11:59)</w:t>
            </w:r>
          </w:p>
        </w:tc>
        <w:tc>
          <w:tcPr>
            <w:tcW w:type="dxa" w:w="1728"/>
          </w:tcPr>
          <w:p>
            <w:r>
              <w:rPr>
                <w:sz w:val="18"/>
              </w:rPr>
              <w:t>6,4</w:t>
            </w:r>
          </w:p>
        </w:tc>
        <w:tc>
          <w:tcPr>
            <w:tcW w:type="dxa" w:w="1728"/>
          </w:tcPr>
          <w:p>
            <w:r>
              <w:rPr>
                <w:sz w:val="18"/>
              </w:rPr>
              <w:t>1,8</w:t>
            </w:r>
          </w:p>
        </w:tc>
        <w:tc>
          <w:tcPr>
            <w:tcW w:type="dxa" w:w="1728"/>
          </w:tcPr>
          <w:p>
            <w:r>
              <w:rPr>
                <w:sz w:val="18"/>
              </w:rPr>
              <w:t>-4,6</w:t>
            </w:r>
          </w:p>
        </w:tc>
        <w:tc>
          <w:tcPr>
            <w:tcW w:type="dxa" w:w="1728"/>
          </w:tcPr>
          <w:p>
            <w:r>
              <w:rPr>
                <w:sz w:val="18"/>
              </w:rPr>
              <w:t>-253,9 %</w:t>
            </w:r>
          </w:p>
        </w:tc>
      </w:tr>
    </w:tbl>
    <w:p>
      <w:pPr>
        <w:pStyle w:val="Heading1"/>
      </w:pPr>
      <w:r>
        <w:t>Piscina municipal</w:t>
      </w:r>
    </w:p>
    <w:p>
      <w:r>
        <w:t>Con WES 135,1 m³ vs Sin WES 259,8 m³ → 48 % (124,7 m³).</w:t>
      </w:r>
    </w:p>
    <w:p>
      <w:r>
        <w:drawing>
          <wp:inline xmlns:a="http://schemas.openxmlformats.org/drawingml/2006/main" xmlns:pic="http://schemas.openxmlformats.org/drawingml/2006/picture">
            <wp:extent cx="4500000" cy="3197483"/>
            <wp:docPr id="24" name="Picture 24"/>
            <wp:cNvGraphicFramePr>
              <a:graphicFrameLocks noChangeAspect="1"/>
            </wp:cNvGraphicFramePr>
            <a:graphic>
              <a:graphicData uri="http://schemas.openxmlformats.org/drawingml/2006/picture">
                <pic:pic>
                  <pic:nvPicPr>
                    <pic:cNvPr id="0" name="02_barras_total_rejilla_por_periodo.png"/>
                    <pic:cNvPicPr/>
                  </pic:nvPicPr>
                  <pic:blipFill>
                    <a:blip r:embed="rId33"/>
                    <a:stretch>
                      <a:fillRect/>
                    </a:stretch>
                  </pic:blipFill>
                  <pic:spPr>
                    <a:xfrm>
                      <a:off x="0" y="0"/>
                      <a:ext cx="4500000" cy="3197483"/>
                    </a:xfrm>
                    <a:prstGeom prst="rect"/>
                  </pic:spPr>
                </pic:pic>
              </a:graphicData>
            </a:graphic>
          </wp:inline>
        </w:drawing>
      </w:r>
    </w:p>
    <w:p>
      <w:r>
        <w:drawing>
          <wp:inline xmlns:a="http://schemas.openxmlformats.org/drawingml/2006/main" xmlns:pic="http://schemas.openxmlformats.org/drawingml/2006/picture">
            <wp:extent cx="5760000" cy="2857101"/>
            <wp:docPr id="25" name="Picture 25"/>
            <wp:cNvGraphicFramePr>
              <a:graphicFrameLocks noChangeAspect="1"/>
            </wp:cNvGraphicFramePr>
            <a:graphic>
              <a:graphicData uri="http://schemas.openxmlformats.org/drawingml/2006/picture">
                <pic:pic>
                  <pic:nvPicPr>
                    <pic:cNvPr id="0" name="04_area_Lunes.png"/>
                    <pic:cNvPicPr/>
                  </pic:nvPicPr>
                  <pic:blipFill>
                    <a:blip r:embed="rId34"/>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6" name="Picture 26"/>
            <wp:cNvGraphicFramePr>
              <a:graphicFrameLocks noChangeAspect="1"/>
            </wp:cNvGraphicFramePr>
            <a:graphic>
              <a:graphicData uri="http://schemas.openxmlformats.org/drawingml/2006/picture">
                <pic:pic>
                  <pic:nvPicPr>
                    <pic:cNvPr id="0" name="05_area_Martes.png"/>
                    <pic:cNvPicPr/>
                  </pic:nvPicPr>
                  <pic:blipFill>
                    <a:blip r:embed="rId35"/>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7" name="Picture 27"/>
            <wp:cNvGraphicFramePr>
              <a:graphicFrameLocks noChangeAspect="1"/>
            </wp:cNvGraphicFramePr>
            <a:graphic>
              <a:graphicData uri="http://schemas.openxmlformats.org/drawingml/2006/picture">
                <pic:pic>
                  <pic:nvPicPr>
                    <pic:cNvPr id="0" name="06_area_Miercoles.png"/>
                    <pic:cNvPicPr/>
                  </pic:nvPicPr>
                  <pic:blipFill>
                    <a:blip r:embed="rId36"/>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8" name="Picture 28"/>
            <wp:cNvGraphicFramePr>
              <a:graphicFrameLocks noChangeAspect="1"/>
            </wp:cNvGraphicFramePr>
            <a:graphic>
              <a:graphicData uri="http://schemas.openxmlformats.org/drawingml/2006/picture">
                <pic:pic>
                  <pic:nvPicPr>
                    <pic:cNvPr id="0" name="07_area_Jueves.png"/>
                    <pic:cNvPicPr/>
                  </pic:nvPicPr>
                  <pic:blipFill>
                    <a:blip r:embed="rId37"/>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29" name="Picture 29"/>
            <wp:cNvGraphicFramePr>
              <a:graphicFrameLocks noChangeAspect="1"/>
            </wp:cNvGraphicFramePr>
            <a:graphic>
              <a:graphicData uri="http://schemas.openxmlformats.org/drawingml/2006/picture">
                <pic:pic>
                  <pic:nvPicPr>
                    <pic:cNvPr id="0" name="08_area_Viernes.png"/>
                    <pic:cNvPicPr/>
                  </pic:nvPicPr>
                  <pic:blipFill>
                    <a:blip r:embed="rId38"/>
                    <a:stretch>
                      <a:fillRect/>
                    </a:stretch>
                  </pic:blipFill>
                  <pic:spPr>
                    <a:xfrm>
                      <a:off x="0" y="0"/>
                      <a:ext cx="5760000" cy="2857101"/>
                    </a:xfrm>
                    <a:prstGeom prst="rect"/>
                  </pic:spPr>
                </pic:pic>
              </a:graphicData>
            </a:graphic>
          </wp:inline>
        </w:drawing>
      </w:r>
    </w:p>
    <w:p>
      <w:r>
        <w:drawing>
          <wp:inline xmlns:a="http://schemas.openxmlformats.org/drawingml/2006/main" xmlns:pic="http://schemas.openxmlformats.org/drawingml/2006/picture">
            <wp:extent cx="5760000" cy="2857101"/>
            <wp:docPr id="30" name="Picture 30"/>
            <wp:cNvGraphicFramePr>
              <a:graphicFrameLocks noChangeAspect="1"/>
            </wp:cNvGraphicFramePr>
            <a:graphic>
              <a:graphicData uri="http://schemas.openxmlformats.org/drawingml/2006/picture">
                <pic:pic>
                  <pic:nvPicPr>
                    <pic:cNvPr id="0" name="03_area_promedio_24h.png"/>
                    <pic:cNvPicPr/>
                  </pic:nvPicPr>
                  <pic:blipFill>
                    <a:blip r:embed="rId39"/>
                    <a:stretch>
                      <a:fillRect/>
                    </a:stretch>
                  </pic:blipFill>
                  <pic:spPr>
                    <a:xfrm>
                      <a:off x="0" y="0"/>
                      <a:ext cx="5760000" cy="285710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788"/>
          </w:tcPr>
          <w:p>
            <w:r>
              <w:rPr>
                <w:b/>
                <w:color w:val="FFFFFF"/>
                <w:sz w:val="18"/>
              </w:rPr>
              <w:t>Día homólogo</w:t>
            </w:r>
          </w:p>
        </w:tc>
        <w:tc>
          <w:tcPr>
            <w:tcW w:type="dxa" w:w="1728"/>
            <w:shd w:val="clear" w:fill="1F4788"/>
          </w:tcPr>
          <w:p>
            <w:r>
              <w:rPr>
                <w:b/>
                <w:color w:val="FFFFFF"/>
                <w:sz w:val="18"/>
              </w:rPr>
              <w:t>Con WES (m³)</w:t>
            </w:r>
          </w:p>
        </w:tc>
        <w:tc>
          <w:tcPr>
            <w:tcW w:type="dxa" w:w="1728"/>
            <w:shd w:val="clear" w:fill="1F4788"/>
          </w:tcPr>
          <w:p>
            <w:r>
              <w:rPr>
                <w:b/>
                <w:color w:val="FFFFFF"/>
                <w:sz w:val="18"/>
              </w:rPr>
              <w:t>Sin WES (m³)</w:t>
            </w:r>
          </w:p>
        </w:tc>
        <w:tc>
          <w:tcPr>
            <w:tcW w:type="dxa" w:w="1728"/>
            <w:shd w:val="clear" w:fill="1F4788"/>
          </w:tcPr>
          <w:p>
            <w:r>
              <w:rPr>
                <w:b/>
                <w:color w:val="FFFFFF"/>
                <w:sz w:val="18"/>
              </w:rPr>
              <w:t>Ahorro (m³)</w:t>
            </w:r>
          </w:p>
        </w:tc>
        <w:tc>
          <w:tcPr>
            <w:tcW w:type="dxa" w:w="1728"/>
            <w:shd w:val="clear" w:fill="1F4788"/>
          </w:tcPr>
          <w:p>
            <w:r>
              <w:rPr>
                <w:b/>
                <w:color w:val="FFFFFF"/>
                <w:sz w:val="18"/>
              </w:rPr>
              <w:t>%</w:t>
            </w:r>
          </w:p>
        </w:tc>
      </w:tr>
      <w:tr>
        <w:tc>
          <w:tcPr>
            <w:tcW w:type="dxa" w:w="1728"/>
          </w:tcPr>
          <w:p>
            <w:r>
              <w:rPr>
                <w:sz w:val="18"/>
              </w:rPr>
              <w:t>Lun 10 vs 17</w:t>
            </w:r>
          </w:p>
        </w:tc>
        <w:tc>
          <w:tcPr>
            <w:tcW w:type="dxa" w:w="1728"/>
          </w:tcPr>
          <w:p>
            <w:r>
              <w:rPr>
                <w:sz w:val="18"/>
              </w:rPr>
              <w:t>31,1</w:t>
            </w:r>
          </w:p>
        </w:tc>
        <w:tc>
          <w:tcPr>
            <w:tcW w:type="dxa" w:w="1728"/>
          </w:tcPr>
          <w:p>
            <w:r>
              <w:rPr>
                <w:sz w:val="18"/>
              </w:rPr>
              <w:t>56,1</w:t>
            </w:r>
          </w:p>
        </w:tc>
        <w:tc>
          <w:tcPr>
            <w:tcW w:type="dxa" w:w="1728"/>
          </w:tcPr>
          <w:p>
            <w:r>
              <w:rPr>
                <w:sz w:val="18"/>
              </w:rPr>
              <w:t>25,1</w:t>
            </w:r>
          </w:p>
        </w:tc>
        <w:tc>
          <w:tcPr>
            <w:tcW w:type="dxa" w:w="1728"/>
          </w:tcPr>
          <w:p>
            <w:r>
              <w:rPr>
                <w:sz w:val="18"/>
              </w:rPr>
              <w:t>44,7 %</w:t>
            </w:r>
          </w:p>
        </w:tc>
      </w:tr>
      <w:tr>
        <w:tc>
          <w:tcPr>
            <w:tcW w:type="dxa" w:w="1728"/>
          </w:tcPr>
          <w:p>
            <w:r>
              <w:rPr>
                <w:sz w:val="18"/>
              </w:rPr>
              <w:t>Mar 11 vs 18</w:t>
            </w:r>
          </w:p>
        </w:tc>
        <w:tc>
          <w:tcPr>
            <w:tcW w:type="dxa" w:w="1728"/>
          </w:tcPr>
          <w:p>
            <w:r>
              <w:rPr>
                <w:sz w:val="18"/>
              </w:rPr>
              <w:t>31,4</w:t>
            </w:r>
          </w:p>
        </w:tc>
        <w:tc>
          <w:tcPr>
            <w:tcW w:type="dxa" w:w="1728"/>
          </w:tcPr>
          <w:p>
            <w:r>
              <w:rPr>
                <w:sz w:val="18"/>
              </w:rPr>
              <w:t>58,5</w:t>
            </w:r>
          </w:p>
        </w:tc>
        <w:tc>
          <w:tcPr>
            <w:tcW w:type="dxa" w:w="1728"/>
          </w:tcPr>
          <w:p>
            <w:r>
              <w:rPr>
                <w:sz w:val="18"/>
              </w:rPr>
              <w:t>27,1</w:t>
            </w:r>
          </w:p>
        </w:tc>
        <w:tc>
          <w:tcPr>
            <w:tcW w:type="dxa" w:w="1728"/>
          </w:tcPr>
          <w:p>
            <w:r>
              <w:rPr>
                <w:sz w:val="18"/>
              </w:rPr>
              <w:t>46,3 %</w:t>
            </w:r>
          </w:p>
        </w:tc>
      </w:tr>
      <w:tr>
        <w:tc>
          <w:tcPr>
            <w:tcW w:type="dxa" w:w="1728"/>
          </w:tcPr>
          <w:p>
            <w:r>
              <w:rPr>
                <w:sz w:val="18"/>
              </w:rPr>
              <w:t>Mié 12 vs 19</w:t>
            </w:r>
          </w:p>
        </w:tc>
        <w:tc>
          <w:tcPr>
            <w:tcW w:type="dxa" w:w="1728"/>
          </w:tcPr>
          <w:p>
            <w:r>
              <w:rPr>
                <w:sz w:val="18"/>
              </w:rPr>
              <w:t>31,1</w:t>
            </w:r>
          </w:p>
        </w:tc>
        <w:tc>
          <w:tcPr>
            <w:tcW w:type="dxa" w:w="1728"/>
          </w:tcPr>
          <w:p>
            <w:r>
              <w:rPr>
                <w:sz w:val="18"/>
              </w:rPr>
              <w:t>58,4</w:t>
            </w:r>
          </w:p>
        </w:tc>
        <w:tc>
          <w:tcPr>
            <w:tcW w:type="dxa" w:w="1728"/>
          </w:tcPr>
          <w:p>
            <w:r>
              <w:rPr>
                <w:sz w:val="18"/>
              </w:rPr>
              <w:t>27,2</w:t>
            </w:r>
          </w:p>
        </w:tc>
        <w:tc>
          <w:tcPr>
            <w:tcW w:type="dxa" w:w="1728"/>
          </w:tcPr>
          <w:p>
            <w:r>
              <w:rPr>
                <w:sz w:val="18"/>
              </w:rPr>
              <w:t>46,7 %</w:t>
            </w:r>
          </w:p>
        </w:tc>
      </w:tr>
      <w:tr>
        <w:tc>
          <w:tcPr>
            <w:tcW w:type="dxa" w:w="1728"/>
          </w:tcPr>
          <w:p>
            <w:r>
              <w:rPr>
                <w:sz w:val="18"/>
              </w:rPr>
              <w:t>Jue 13 vs 20</w:t>
            </w:r>
          </w:p>
        </w:tc>
        <w:tc>
          <w:tcPr>
            <w:tcW w:type="dxa" w:w="1728"/>
          </w:tcPr>
          <w:p>
            <w:r>
              <w:rPr>
                <w:sz w:val="18"/>
              </w:rPr>
              <w:t>31,4</w:t>
            </w:r>
          </w:p>
        </w:tc>
        <w:tc>
          <w:tcPr>
            <w:tcW w:type="dxa" w:w="1728"/>
          </w:tcPr>
          <w:p>
            <w:r>
              <w:rPr>
                <w:sz w:val="18"/>
              </w:rPr>
              <w:t>58,3</w:t>
            </w:r>
          </w:p>
        </w:tc>
        <w:tc>
          <w:tcPr>
            <w:tcW w:type="dxa" w:w="1728"/>
          </w:tcPr>
          <w:p>
            <w:r>
              <w:rPr>
                <w:sz w:val="18"/>
              </w:rPr>
              <w:t>27</w:t>
            </w:r>
          </w:p>
        </w:tc>
        <w:tc>
          <w:tcPr>
            <w:tcW w:type="dxa" w:w="1728"/>
          </w:tcPr>
          <w:p>
            <w:r>
              <w:rPr>
                <w:sz w:val="18"/>
              </w:rPr>
              <w:t>46,3 %</w:t>
            </w:r>
          </w:p>
        </w:tc>
      </w:tr>
      <w:tr>
        <w:tc>
          <w:tcPr>
            <w:tcW w:type="dxa" w:w="1728"/>
          </w:tcPr>
          <w:p>
            <w:r>
              <w:rPr>
                <w:sz w:val="18"/>
              </w:rPr>
              <w:t>Vie 14 vs 21 (00:00–11:59)</w:t>
            </w:r>
          </w:p>
        </w:tc>
        <w:tc>
          <w:tcPr>
            <w:tcW w:type="dxa" w:w="1728"/>
          </w:tcPr>
          <w:p>
            <w:r>
              <w:rPr>
                <w:sz w:val="18"/>
              </w:rPr>
              <w:t>10,1</w:t>
            </w:r>
          </w:p>
        </w:tc>
        <w:tc>
          <w:tcPr>
            <w:tcW w:type="dxa" w:w="1728"/>
          </w:tcPr>
          <w:p>
            <w:r>
              <w:rPr>
                <w:sz w:val="18"/>
              </w:rPr>
              <w:t>28,4</w:t>
            </w:r>
          </w:p>
        </w:tc>
        <w:tc>
          <w:tcPr>
            <w:tcW w:type="dxa" w:w="1728"/>
          </w:tcPr>
          <w:p>
            <w:r>
              <w:rPr>
                <w:sz w:val="18"/>
              </w:rPr>
              <w:t>18,3</w:t>
            </w:r>
          </w:p>
        </w:tc>
        <w:tc>
          <w:tcPr>
            <w:tcW w:type="dxa" w:w="1728"/>
          </w:tcPr>
          <w:p>
            <w:r>
              <w:rPr>
                <w:sz w:val="18"/>
              </w:rPr>
              <w:t>64,4 %</w:t>
            </w:r>
          </w:p>
        </w:tc>
      </w:tr>
    </w:tbl>
    <w:p>
      <w:pPr>
        <w:pStyle w:val="Heading1"/>
      </w:pPr>
      <w:r>
        <w:t>2. Quinto punto: Colegio ICCO Renca (000017-08)</w:t>
      </w:r>
    </w:p>
    <w:p>
      <w:r>
        <w:rPr>
          <w:b/>
        </w:rPr>
        <w:t xml:space="preserve">Sala de bombas. </w:t>
      </w:r>
      <w:r>
        <w:t>En Colegio ICCO Renca (000017-08) no se puede dejar el punto sin control WES durante una semana completa. Si se elimina el control, el estanque de la sala de bombas se vacía y no es capaz de recuperarse; eso afectaría el funcionamiento normal del colegio. Por esa razón el único día sin control fue el domingo 16/08/2026, de 00:00 a 23:59. El resto de los días permaneció con WES. El rendimiento se mide comparando ese domingo sin control con cada día con control y, en particular, con el domingo homólogo anterior (09/08). No existe una semana homóloga lun–vie sin WES en este punto: no se puede construir sin vaciar el estanque.</w:t>
      </w:r>
    </w:p>
    <w:p>
      <w:r>
        <w:drawing>
          <wp:inline xmlns:a="http://schemas.openxmlformats.org/drawingml/2006/main" xmlns:pic="http://schemas.openxmlformats.org/drawingml/2006/picture">
            <wp:extent cx="5832000" cy="2425916"/>
            <wp:docPr id="31" name="Picture 31"/>
            <wp:cNvGraphicFramePr>
              <a:graphicFrameLocks noChangeAspect="1"/>
            </wp:cNvGraphicFramePr>
            <a:graphic>
              <a:graphicData uri="http://schemas.openxmlformats.org/drawingml/2006/picture">
                <pic:pic>
                  <pic:nvPicPr>
                    <pic:cNvPr id="0" name="icco_dom16_vs_cada_dia.png"/>
                    <pic:cNvPicPr/>
                  </pic:nvPicPr>
                  <pic:blipFill>
                    <a:blip r:embed="rId40"/>
                    <a:stretch>
                      <a:fillRect/>
                    </a:stretch>
                  </pic:blipFill>
                  <pic:spPr>
                    <a:xfrm>
                      <a:off x="0" y="0"/>
                      <a:ext cx="5832000" cy="2425916"/>
                    </a:xfrm>
                    <a:prstGeom prst="rect"/>
                  </pic:spPr>
                </pic:pic>
              </a:graphicData>
            </a:graphic>
          </wp:inline>
        </w:drawing>
      </w:r>
    </w:p>
    <w:p/>
    <w:p>
      <w:r>
        <w:drawing>
          <wp:inline xmlns:a="http://schemas.openxmlformats.org/drawingml/2006/main" xmlns:pic="http://schemas.openxmlformats.org/drawingml/2006/picture">
            <wp:extent cx="5832000" cy="2359806"/>
            <wp:docPr id="32" name="Picture 32"/>
            <wp:cNvGraphicFramePr>
              <a:graphicFrameLocks noChangeAspect="1"/>
            </wp:cNvGraphicFramePr>
            <a:graphic>
              <a:graphicData uri="http://schemas.openxmlformats.org/drawingml/2006/picture">
                <pic:pic>
                  <pic:nvPicPr>
                    <pic:cNvPr id="0" name="icco_perfil_dom9_dom16_mar11.png"/>
                    <pic:cNvPicPr/>
                  </pic:nvPicPr>
                  <pic:blipFill>
                    <a:blip r:embed="rId41"/>
                    <a:stretch>
                      <a:fillRect/>
                    </a:stretch>
                  </pic:blipFill>
                  <pic:spPr>
                    <a:xfrm>
                      <a:off x="0" y="0"/>
                      <a:ext cx="5832000" cy="2359806"/>
                    </a:xfrm>
                    <a:prstGeom prst="rect"/>
                  </pic:spPr>
                </pic:pic>
              </a:graphicData>
            </a:graphic>
          </wp:inline>
        </w:drawing>
      </w:r>
    </w:p>
    <w:p>
      <w:r>
        <w:rPr>
          <w:b/>
        </w:rPr>
        <w:t xml:space="preserve">Rendimiento totalizado (único par homólogo justo). </w:t>
      </w:r>
      <w:r>
        <w:t>Domingo 09/08 con WES 38,1 m³ vs domingo 16/08 sin WES 40,1 m³ → 5 % (2 m³; ~2.600 CLP). No se puede extrapolar ese 40,1 m³/día a lun–vie: un día de clases con WES ya supera 50–77 m³ por ocupación, y sin control el estanque de la sala de bombas se vaciaría.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1F4788"/>
          </w:tcPr>
          <w:p>
            <w:r>
              <w:rPr>
                <w:b/>
                <w:color w:val="FFFFFF"/>
                <w:sz w:val="18"/>
              </w:rPr>
              <w:t>Día</w:t>
            </w:r>
          </w:p>
        </w:tc>
        <w:tc>
          <w:tcPr>
            <w:tcW w:type="dxa" w:w="1440"/>
            <w:shd w:val="clear" w:fill="1F4788"/>
          </w:tcPr>
          <w:p>
            <w:r>
              <w:rPr>
                <w:b/>
                <w:color w:val="FFFFFF"/>
                <w:sz w:val="18"/>
              </w:rPr>
              <w:t>Control</w:t>
            </w:r>
          </w:p>
        </w:tc>
        <w:tc>
          <w:tcPr>
            <w:tcW w:type="dxa" w:w="1440"/>
            <w:shd w:val="clear" w:fill="1F4788"/>
          </w:tcPr>
          <w:p>
            <w:r>
              <w:rPr>
                <w:b/>
                <w:color w:val="FFFFFF"/>
                <w:sz w:val="18"/>
              </w:rPr>
              <w:t>m³ del día</w:t>
            </w:r>
          </w:p>
        </w:tc>
        <w:tc>
          <w:tcPr>
            <w:tcW w:type="dxa" w:w="1440"/>
            <w:shd w:val="clear" w:fill="1F4788"/>
          </w:tcPr>
          <w:p>
            <w:r>
              <w:rPr>
                <w:b/>
                <w:color w:val="FFFFFF"/>
                <w:sz w:val="18"/>
              </w:rPr>
              <w:t>m³ dom 16</w:t>
            </w:r>
          </w:p>
        </w:tc>
        <w:tc>
          <w:tcPr>
            <w:tcW w:type="dxa" w:w="1440"/>
            <w:shd w:val="clear" w:fill="1F4788"/>
          </w:tcPr>
          <w:p>
            <w:r>
              <w:rPr>
                <w:b/>
                <w:color w:val="FFFFFF"/>
                <w:sz w:val="18"/>
              </w:rPr>
              <w:t>Ahorro (m³)</w:t>
            </w:r>
          </w:p>
        </w:tc>
        <w:tc>
          <w:tcPr>
            <w:tcW w:type="dxa" w:w="1440"/>
            <w:shd w:val="clear" w:fill="1F4788"/>
          </w:tcPr>
          <w:p>
            <w:r>
              <w:rPr>
                <w:b/>
                <w:color w:val="FFFFFF"/>
                <w:sz w:val="18"/>
              </w:rPr>
              <w:t>%</w:t>
            </w:r>
          </w:p>
        </w:tc>
      </w:tr>
      <w:tr>
        <w:tc>
          <w:tcPr>
            <w:tcW w:type="dxa" w:w="1440"/>
            <w:shd w:val="clear" w:fill="E2EFDA"/>
          </w:tcPr>
          <w:p>
            <w:r>
              <w:rPr>
                <w:sz w:val="18"/>
              </w:rPr>
              <w:t>Domingo 09/08</w:t>
            </w:r>
          </w:p>
        </w:tc>
        <w:tc>
          <w:tcPr>
            <w:tcW w:type="dxa" w:w="1440"/>
            <w:shd w:val="clear" w:fill="E2EFDA"/>
          </w:tcPr>
          <w:p>
            <w:r>
              <w:rPr>
                <w:sz w:val="18"/>
              </w:rPr>
              <w:t>Con WES</w:t>
            </w:r>
          </w:p>
        </w:tc>
        <w:tc>
          <w:tcPr>
            <w:tcW w:type="dxa" w:w="1440"/>
            <w:shd w:val="clear" w:fill="E2EFDA"/>
          </w:tcPr>
          <w:p>
            <w:r>
              <w:rPr>
                <w:sz w:val="18"/>
              </w:rPr>
              <w:t>38,1</w:t>
            </w:r>
          </w:p>
        </w:tc>
        <w:tc>
          <w:tcPr>
            <w:tcW w:type="dxa" w:w="1440"/>
            <w:shd w:val="clear" w:fill="E2EFDA"/>
          </w:tcPr>
          <w:p>
            <w:r>
              <w:rPr>
                <w:sz w:val="18"/>
              </w:rPr>
              <w:t>40,1</w:t>
            </w:r>
          </w:p>
        </w:tc>
        <w:tc>
          <w:tcPr>
            <w:tcW w:type="dxa" w:w="1440"/>
            <w:shd w:val="clear" w:fill="E2EFDA"/>
          </w:tcPr>
          <w:p>
            <w:r>
              <w:rPr>
                <w:sz w:val="18"/>
              </w:rPr>
              <w:t>2</w:t>
            </w:r>
          </w:p>
        </w:tc>
        <w:tc>
          <w:tcPr>
            <w:tcW w:type="dxa" w:w="1440"/>
            <w:shd w:val="clear" w:fill="E2EFDA"/>
          </w:tcPr>
          <w:p>
            <w:r>
              <w:rPr>
                <w:sz w:val="18"/>
              </w:rPr>
              <w:t>5 %</w:t>
            </w:r>
          </w:p>
        </w:tc>
      </w:tr>
      <w:tr>
        <w:tc>
          <w:tcPr>
            <w:tcW w:type="dxa" w:w="1440"/>
          </w:tcPr>
          <w:p>
            <w:r>
              <w:rPr>
                <w:sz w:val="18"/>
              </w:rPr>
              <w:t>Lunes 10/08</w:t>
            </w:r>
          </w:p>
        </w:tc>
        <w:tc>
          <w:tcPr>
            <w:tcW w:type="dxa" w:w="1440"/>
          </w:tcPr>
          <w:p>
            <w:r>
              <w:rPr>
                <w:sz w:val="18"/>
              </w:rPr>
              <w:t>Con WES</w:t>
            </w:r>
          </w:p>
        </w:tc>
        <w:tc>
          <w:tcPr>
            <w:tcW w:type="dxa" w:w="1440"/>
          </w:tcPr>
          <w:p>
            <w:r>
              <w:rPr>
                <w:sz w:val="18"/>
              </w:rPr>
              <w:t>57,3</w:t>
            </w:r>
          </w:p>
        </w:tc>
        <w:tc>
          <w:tcPr>
            <w:tcW w:type="dxa" w:w="1440"/>
          </w:tcPr>
          <w:p>
            <w:r>
              <w:rPr>
                <w:sz w:val="18"/>
              </w:rPr>
              <w:t>40,1</w:t>
            </w:r>
          </w:p>
        </w:tc>
        <w:tc>
          <w:tcPr>
            <w:tcW w:type="dxa" w:w="1440"/>
          </w:tcPr>
          <w:p>
            <w:r>
              <w:rPr>
                <w:sz w:val="18"/>
              </w:rPr>
              <w:t>-17,2</w:t>
            </w:r>
          </w:p>
        </w:tc>
        <w:tc>
          <w:tcPr>
            <w:tcW w:type="dxa" w:w="1440"/>
          </w:tcPr>
          <w:p>
            <w:r>
              <w:rPr>
                <w:sz w:val="18"/>
              </w:rPr>
              <w:t>-42,9 %</w:t>
            </w:r>
          </w:p>
        </w:tc>
      </w:tr>
      <w:tr>
        <w:tc>
          <w:tcPr>
            <w:tcW w:type="dxa" w:w="1440"/>
          </w:tcPr>
          <w:p>
            <w:r>
              <w:rPr>
                <w:sz w:val="18"/>
              </w:rPr>
              <w:t>Martes 11/08</w:t>
            </w:r>
          </w:p>
        </w:tc>
        <w:tc>
          <w:tcPr>
            <w:tcW w:type="dxa" w:w="1440"/>
          </w:tcPr>
          <w:p>
            <w:r>
              <w:rPr>
                <w:sz w:val="18"/>
              </w:rPr>
              <w:t>Con WES</w:t>
            </w:r>
          </w:p>
        </w:tc>
        <w:tc>
          <w:tcPr>
            <w:tcW w:type="dxa" w:w="1440"/>
          </w:tcPr>
          <w:p>
            <w:r>
              <w:rPr>
                <w:sz w:val="18"/>
              </w:rPr>
              <w:t>77,3</w:t>
            </w:r>
          </w:p>
        </w:tc>
        <w:tc>
          <w:tcPr>
            <w:tcW w:type="dxa" w:w="1440"/>
          </w:tcPr>
          <w:p>
            <w:r>
              <w:rPr>
                <w:sz w:val="18"/>
              </w:rPr>
              <w:t>40,1</w:t>
            </w:r>
          </w:p>
        </w:tc>
        <w:tc>
          <w:tcPr>
            <w:tcW w:type="dxa" w:w="1440"/>
          </w:tcPr>
          <w:p>
            <w:r>
              <w:rPr>
                <w:sz w:val="18"/>
              </w:rPr>
              <w:t>-37,2</w:t>
            </w:r>
          </w:p>
        </w:tc>
        <w:tc>
          <w:tcPr>
            <w:tcW w:type="dxa" w:w="1440"/>
          </w:tcPr>
          <w:p>
            <w:r>
              <w:rPr>
                <w:sz w:val="18"/>
              </w:rPr>
              <w:t>-92,8 %</w:t>
            </w:r>
          </w:p>
        </w:tc>
      </w:tr>
      <w:tr>
        <w:tc>
          <w:tcPr>
            <w:tcW w:type="dxa" w:w="1440"/>
          </w:tcPr>
          <w:p>
            <w:r>
              <w:rPr>
                <w:sz w:val="18"/>
              </w:rPr>
              <w:t>Miércoles 12/08</w:t>
            </w:r>
          </w:p>
        </w:tc>
        <w:tc>
          <w:tcPr>
            <w:tcW w:type="dxa" w:w="1440"/>
          </w:tcPr>
          <w:p>
            <w:r>
              <w:rPr>
                <w:sz w:val="18"/>
              </w:rPr>
              <w:t>Con WES</w:t>
            </w:r>
          </w:p>
        </w:tc>
        <w:tc>
          <w:tcPr>
            <w:tcW w:type="dxa" w:w="1440"/>
          </w:tcPr>
          <w:p>
            <w:r>
              <w:rPr>
                <w:sz w:val="18"/>
              </w:rPr>
              <w:t>69</w:t>
            </w:r>
          </w:p>
        </w:tc>
        <w:tc>
          <w:tcPr>
            <w:tcW w:type="dxa" w:w="1440"/>
          </w:tcPr>
          <w:p>
            <w:r>
              <w:rPr>
                <w:sz w:val="18"/>
              </w:rPr>
              <w:t>40,1</w:t>
            </w:r>
          </w:p>
        </w:tc>
        <w:tc>
          <w:tcPr>
            <w:tcW w:type="dxa" w:w="1440"/>
          </w:tcPr>
          <w:p>
            <w:r>
              <w:rPr>
                <w:sz w:val="18"/>
              </w:rPr>
              <w:t>-28,9</w:t>
            </w:r>
          </w:p>
        </w:tc>
        <w:tc>
          <w:tcPr>
            <w:tcW w:type="dxa" w:w="1440"/>
          </w:tcPr>
          <w:p>
            <w:r>
              <w:rPr>
                <w:sz w:val="18"/>
              </w:rPr>
              <w:t>-72,1 %</w:t>
            </w:r>
          </w:p>
        </w:tc>
      </w:tr>
      <w:tr>
        <w:tc>
          <w:tcPr>
            <w:tcW w:type="dxa" w:w="1440"/>
          </w:tcPr>
          <w:p>
            <w:r>
              <w:rPr>
                <w:sz w:val="18"/>
              </w:rPr>
              <w:t>Jueves 13/08</w:t>
            </w:r>
          </w:p>
        </w:tc>
        <w:tc>
          <w:tcPr>
            <w:tcW w:type="dxa" w:w="1440"/>
          </w:tcPr>
          <w:p>
            <w:r>
              <w:rPr>
                <w:sz w:val="18"/>
              </w:rPr>
              <w:t>Con WES</w:t>
            </w:r>
          </w:p>
        </w:tc>
        <w:tc>
          <w:tcPr>
            <w:tcW w:type="dxa" w:w="1440"/>
          </w:tcPr>
          <w:p>
            <w:r>
              <w:rPr>
                <w:sz w:val="18"/>
              </w:rPr>
              <w:t>50,7</w:t>
            </w:r>
          </w:p>
        </w:tc>
        <w:tc>
          <w:tcPr>
            <w:tcW w:type="dxa" w:w="1440"/>
          </w:tcPr>
          <w:p>
            <w:r>
              <w:rPr>
                <w:sz w:val="18"/>
              </w:rPr>
              <w:t>40,1</w:t>
            </w:r>
          </w:p>
        </w:tc>
        <w:tc>
          <w:tcPr>
            <w:tcW w:type="dxa" w:w="1440"/>
          </w:tcPr>
          <w:p>
            <w:r>
              <w:rPr>
                <w:sz w:val="18"/>
              </w:rPr>
              <w:t>-10,6</w:t>
            </w:r>
          </w:p>
        </w:tc>
        <w:tc>
          <w:tcPr>
            <w:tcW w:type="dxa" w:w="1440"/>
          </w:tcPr>
          <w:p>
            <w:r>
              <w:rPr>
                <w:sz w:val="18"/>
              </w:rPr>
              <w:t>-26,4 %</w:t>
            </w:r>
          </w:p>
        </w:tc>
      </w:tr>
      <w:tr>
        <w:tc>
          <w:tcPr>
            <w:tcW w:type="dxa" w:w="1440"/>
          </w:tcPr>
          <w:p>
            <w:r>
              <w:rPr>
                <w:sz w:val="18"/>
              </w:rPr>
              <w:t>Viernes 14/08</w:t>
            </w:r>
          </w:p>
        </w:tc>
        <w:tc>
          <w:tcPr>
            <w:tcW w:type="dxa" w:w="1440"/>
          </w:tcPr>
          <w:p>
            <w:r>
              <w:rPr>
                <w:sz w:val="18"/>
              </w:rPr>
              <w:t>Con WES</w:t>
            </w:r>
          </w:p>
        </w:tc>
        <w:tc>
          <w:tcPr>
            <w:tcW w:type="dxa" w:w="1440"/>
          </w:tcPr>
          <w:p>
            <w:r>
              <w:rPr>
                <w:sz w:val="18"/>
              </w:rPr>
              <w:t>39,3</w:t>
            </w:r>
          </w:p>
        </w:tc>
        <w:tc>
          <w:tcPr>
            <w:tcW w:type="dxa" w:w="1440"/>
          </w:tcPr>
          <w:p>
            <w:r>
              <w:rPr>
                <w:sz w:val="18"/>
              </w:rPr>
              <w:t>40,1</w:t>
            </w:r>
          </w:p>
        </w:tc>
        <w:tc>
          <w:tcPr>
            <w:tcW w:type="dxa" w:w="1440"/>
          </w:tcPr>
          <w:p>
            <w:r>
              <w:rPr>
                <w:sz w:val="18"/>
              </w:rPr>
              <w:t>0,8</w:t>
            </w:r>
          </w:p>
        </w:tc>
        <w:tc>
          <w:tcPr>
            <w:tcW w:type="dxa" w:w="1440"/>
          </w:tcPr>
          <w:p>
            <w:r>
              <w:rPr>
                <w:sz w:val="18"/>
              </w:rPr>
              <w:t>2 %</w:t>
            </w:r>
          </w:p>
        </w:tc>
      </w:tr>
      <w:tr>
        <w:tc>
          <w:tcPr>
            <w:tcW w:type="dxa" w:w="1440"/>
          </w:tcPr>
          <w:p>
            <w:r>
              <w:rPr>
                <w:sz w:val="18"/>
              </w:rPr>
              <w:t>Sábado 15/08</w:t>
            </w:r>
          </w:p>
        </w:tc>
        <w:tc>
          <w:tcPr>
            <w:tcW w:type="dxa" w:w="1440"/>
          </w:tcPr>
          <w:p>
            <w:r>
              <w:rPr>
                <w:sz w:val="18"/>
              </w:rPr>
              <w:t>Con WES</w:t>
            </w:r>
          </w:p>
        </w:tc>
        <w:tc>
          <w:tcPr>
            <w:tcW w:type="dxa" w:w="1440"/>
          </w:tcPr>
          <w:p>
            <w:r>
              <w:rPr>
                <w:sz w:val="18"/>
              </w:rPr>
              <w:t>40,1</w:t>
            </w:r>
          </w:p>
        </w:tc>
        <w:tc>
          <w:tcPr>
            <w:tcW w:type="dxa" w:w="1440"/>
          </w:tcPr>
          <w:p>
            <w:r>
              <w:rPr>
                <w:sz w:val="18"/>
              </w:rPr>
              <w:t>40,1</w:t>
            </w:r>
          </w:p>
        </w:tc>
        <w:tc>
          <w:tcPr>
            <w:tcW w:type="dxa" w:w="1440"/>
          </w:tcPr>
          <w:p>
            <w:r>
              <w:rPr>
                <w:sz w:val="18"/>
              </w:rPr>
              <w:t>0</w:t>
            </w:r>
          </w:p>
        </w:tc>
        <w:tc>
          <w:tcPr>
            <w:tcW w:type="dxa" w:w="1440"/>
          </w:tcPr>
          <w:p>
            <w:r>
              <w:rPr>
                <w:sz w:val="18"/>
              </w:rPr>
              <w:t>0 %</w:t>
            </w:r>
          </w:p>
        </w:tc>
      </w:tr>
      <w:tr>
        <w:tc>
          <w:tcPr>
            <w:tcW w:type="dxa" w:w="1440"/>
            <w:shd w:val="clear" w:fill="F8CBAD"/>
          </w:tcPr>
          <w:p>
            <w:r>
              <w:rPr>
                <w:sz w:val="18"/>
              </w:rPr>
              <w:t>Domingo 16/08</w:t>
            </w:r>
          </w:p>
        </w:tc>
        <w:tc>
          <w:tcPr>
            <w:tcW w:type="dxa" w:w="1440"/>
            <w:shd w:val="clear" w:fill="F8CBAD"/>
          </w:tcPr>
          <w:p>
            <w:r>
              <w:rPr>
                <w:sz w:val="18"/>
              </w:rPr>
              <w:t>Sin WES</w:t>
            </w:r>
          </w:p>
        </w:tc>
        <w:tc>
          <w:tcPr>
            <w:tcW w:type="dxa" w:w="1440"/>
            <w:shd w:val="clear" w:fill="F8CBAD"/>
          </w:tcPr>
          <w:p>
            <w:r>
              <w:rPr>
                <w:sz w:val="18"/>
              </w:rPr>
              <w:t>40,1</w:t>
            </w:r>
          </w:p>
        </w:tc>
        <w:tc>
          <w:tcPr>
            <w:tcW w:type="dxa" w:w="1440"/>
            <w:shd w:val="clear" w:fill="F8CBAD"/>
          </w:tcPr>
          <w:p>
            <w:r>
              <w:rPr>
                <w:sz w:val="18"/>
              </w:rPr>
              <w:t>40,1</w:t>
            </w:r>
          </w:p>
        </w:tc>
        <w:tc>
          <w:tcPr>
            <w:tcW w:type="dxa" w:w="1440"/>
            <w:shd w:val="clear" w:fill="F8CBAD"/>
          </w:tcPr>
          <w:p>
            <w:r>
              <w:rPr>
                <w:sz w:val="18"/>
              </w:rPr>
              <w:t>0</w:t>
            </w:r>
          </w:p>
        </w:tc>
        <w:tc>
          <w:tcPr>
            <w:tcW w:type="dxa" w:w="1440"/>
            <w:shd w:val="clear" w:fill="F8CBAD"/>
          </w:tcPr>
          <w:p>
            <w:r>
              <w:rPr>
                <w:sz w:val="18"/>
              </w:rPr>
              <w:t>0 %</w:t>
            </w:r>
          </w:p>
        </w:tc>
      </w:tr>
      <w:tr>
        <w:tc>
          <w:tcPr>
            <w:tcW w:type="dxa" w:w="1440"/>
          </w:tcPr>
          <w:p>
            <w:r>
              <w:rPr>
                <w:sz w:val="18"/>
              </w:rPr>
              <w:t>Lunes 17/08</w:t>
            </w:r>
          </w:p>
        </w:tc>
        <w:tc>
          <w:tcPr>
            <w:tcW w:type="dxa" w:w="1440"/>
          </w:tcPr>
          <w:p>
            <w:r>
              <w:rPr>
                <w:sz w:val="18"/>
              </w:rPr>
              <w:t>Con WES</w:t>
            </w:r>
          </w:p>
        </w:tc>
        <w:tc>
          <w:tcPr>
            <w:tcW w:type="dxa" w:w="1440"/>
          </w:tcPr>
          <w:p>
            <w:r>
              <w:rPr>
                <w:sz w:val="18"/>
              </w:rPr>
              <w:t>52,1</w:t>
            </w:r>
          </w:p>
        </w:tc>
        <w:tc>
          <w:tcPr>
            <w:tcW w:type="dxa" w:w="1440"/>
          </w:tcPr>
          <w:p>
            <w:r>
              <w:rPr>
                <w:sz w:val="18"/>
              </w:rPr>
              <w:t>40,1</w:t>
            </w:r>
          </w:p>
        </w:tc>
        <w:tc>
          <w:tcPr>
            <w:tcW w:type="dxa" w:w="1440"/>
          </w:tcPr>
          <w:p>
            <w:r>
              <w:rPr>
                <w:sz w:val="18"/>
              </w:rPr>
              <w:t>-12</w:t>
            </w:r>
          </w:p>
        </w:tc>
        <w:tc>
          <w:tcPr>
            <w:tcW w:type="dxa" w:w="1440"/>
          </w:tcPr>
          <w:p>
            <w:r>
              <w:rPr>
                <w:sz w:val="18"/>
              </w:rPr>
              <w:t>-29,9 %</w:t>
            </w:r>
          </w:p>
        </w:tc>
      </w:tr>
      <w:tr>
        <w:tc>
          <w:tcPr>
            <w:tcW w:type="dxa" w:w="1440"/>
          </w:tcPr>
          <w:p>
            <w:r>
              <w:rPr>
                <w:sz w:val="18"/>
              </w:rPr>
              <w:t>Martes 18/08</w:t>
            </w:r>
          </w:p>
        </w:tc>
        <w:tc>
          <w:tcPr>
            <w:tcW w:type="dxa" w:w="1440"/>
          </w:tcPr>
          <w:p>
            <w:r>
              <w:rPr>
                <w:sz w:val="18"/>
              </w:rPr>
              <w:t>Con WES</w:t>
            </w:r>
          </w:p>
        </w:tc>
        <w:tc>
          <w:tcPr>
            <w:tcW w:type="dxa" w:w="1440"/>
          </w:tcPr>
          <w:p>
            <w:r>
              <w:rPr>
                <w:sz w:val="18"/>
              </w:rPr>
              <w:t>49,6</w:t>
            </w:r>
          </w:p>
        </w:tc>
        <w:tc>
          <w:tcPr>
            <w:tcW w:type="dxa" w:w="1440"/>
          </w:tcPr>
          <w:p>
            <w:r>
              <w:rPr>
                <w:sz w:val="18"/>
              </w:rPr>
              <w:t>40,1</w:t>
            </w:r>
          </w:p>
        </w:tc>
        <w:tc>
          <w:tcPr>
            <w:tcW w:type="dxa" w:w="1440"/>
          </w:tcPr>
          <w:p>
            <w:r>
              <w:rPr>
                <w:sz w:val="18"/>
              </w:rPr>
              <w:t>-9,5</w:t>
            </w:r>
          </w:p>
        </w:tc>
        <w:tc>
          <w:tcPr>
            <w:tcW w:type="dxa" w:w="1440"/>
          </w:tcPr>
          <w:p>
            <w:r>
              <w:rPr>
                <w:sz w:val="18"/>
              </w:rPr>
              <w:t>-23,7 %</w:t>
            </w:r>
          </w:p>
        </w:tc>
      </w:tr>
      <w:tr>
        <w:tc>
          <w:tcPr>
            <w:tcW w:type="dxa" w:w="1440"/>
          </w:tcPr>
          <w:p>
            <w:r>
              <w:rPr>
                <w:sz w:val="18"/>
              </w:rPr>
              <w:t>Miércoles 19/08</w:t>
            </w:r>
          </w:p>
        </w:tc>
        <w:tc>
          <w:tcPr>
            <w:tcW w:type="dxa" w:w="1440"/>
          </w:tcPr>
          <w:p>
            <w:r>
              <w:rPr>
                <w:sz w:val="18"/>
              </w:rPr>
              <w:t>Con WES</w:t>
            </w:r>
          </w:p>
        </w:tc>
        <w:tc>
          <w:tcPr>
            <w:tcW w:type="dxa" w:w="1440"/>
          </w:tcPr>
          <w:p>
            <w:r>
              <w:rPr>
                <w:sz w:val="18"/>
              </w:rPr>
              <w:t>50,9</w:t>
            </w:r>
          </w:p>
        </w:tc>
        <w:tc>
          <w:tcPr>
            <w:tcW w:type="dxa" w:w="1440"/>
          </w:tcPr>
          <w:p>
            <w:r>
              <w:rPr>
                <w:sz w:val="18"/>
              </w:rPr>
              <w:t>40,1</w:t>
            </w:r>
          </w:p>
        </w:tc>
        <w:tc>
          <w:tcPr>
            <w:tcW w:type="dxa" w:w="1440"/>
          </w:tcPr>
          <w:p>
            <w:r>
              <w:rPr>
                <w:sz w:val="18"/>
              </w:rPr>
              <w:t>-10,8</w:t>
            </w:r>
          </w:p>
        </w:tc>
        <w:tc>
          <w:tcPr>
            <w:tcW w:type="dxa" w:w="1440"/>
          </w:tcPr>
          <w:p>
            <w:r>
              <w:rPr>
                <w:sz w:val="18"/>
              </w:rPr>
              <w:t>-26,9 %</w:t>
            </w:r>
          </w:p>
        </w:tc>
      </w:tr>
      <w:tr>
        <w:tc>
          <w:tcPr>
            <w:tcW w:type="dxa" w:w="1440"/>
          </w:tcPr>
          <w:p>
            <w:r>
              <w:rPr>
                <w:sz w:val="18"/>
              </w:rPr>
              <w:t>Jueves 20/08</w:t>
            </w:r>
          </w:p>
        </w:tc>
        <w:tc>
          <w:tcPr>
            <w:tcW w:type="dxa" w:w="1440"/>
          </w:tcPr>
          <w:p>
            <w:r>
              <w:rPr>
                <w:sz w:val="18"/>
              </w:rPr>
              <w:t>Con WES</w:t>
            </w:r>
          </w:p>
        </w:tc>
        <w:tc>
          <w:tcPr>
            <w:tcW w:type="dxa" w:w="1440"/>
          </w:tcPr>
          <w:p>
            <w:r>
              <w:rPr>
                <w:sz w:val="18"/>
              </w:rPr>
              <w:t>53,2</w:t>
            </w:r>
          </w:p>
        </w:tc>
        <w:tc>
          <w:tcPr>
            <w:tcW w:type="dxa" w:w="1440"/>
          </w:tcPr>
          <w:p>
            <w:r>
              <w:rPr>
                <w:sz w:val="18"/>
              </w:rPr>
              <w:t>40,1</w:t>
            </w:r>
          </w:p>
        </w:tc>
        <w:tc>
          <w:tcPr>
            <w:tcW w:type="dxa" w:w="1440"/>
          </w:tcPr>
          <w:p>
            <w:r>
              <w:rPr>
                <w:sz w:val="18"/>
              </w:rPr>
              <w:t>-13,1</w:t>
            </w:r>
          </w:p>
        </w:tc>
        <w:tc>
          <w:tcPr>
            <w:tcW w:type="dxa" w:w="1440"/>
          </w:tcPr>
          <w:p>
            <w:r>
              <w:rPr>
                <w:sz w:val="18"/>
              </w:rPr>
              <w:t>-32,7 %</w:t>
            </w:r>
          </w:p>
        </w:tc>
      </w:tr>
      <w:tr>
        <w:tc>
          <w:tcPr>
            <w:tcW w:type="dxa" w:w="1440"/>
          </w:tcPr>
          <w:p>
            <w:r>
              <w:rPr>
                <w:sz w:val="18"/>
              </w:rPr>
              <w:t>Viernes 21/08 hasta 11:59</w:t>
            </w:r>
          </w:p>
        </w:tc>
        <w:tc>
          <w:tcPr>
            <w:tcW w:type="dxa" w:w="1440"/>
          </w:tcPr>
          <w:p>
            <w:r>
              <w:rPr>
                <w:sz w:val="18"/>
              </w:rPr>
              <w:t>Con WES</w:t>
            </w:r>
          </w:p>
        </w:tc>
        <w:tc>
          <w:tcPr>
            <w:tcW w:type="dxa" w:w="1440"/>
          </w:tcPr>
          <w:p>
            <w:r>
              <w:rPr>
                <w:sz w:val="18"/>
              </w:rPr>
              <w:t>23,6</w:t>
            </w:r>
          </w:p>
        </w:tc>
        <w:tc>
          <w:tcPr>
            <w:tcW w:type="dxa" w:w="1440"/>
          </w:tcPr>
          <w:p>
            <w:r>
              <w:rPr>
                <w:sz w:val="18"/>
              </w:rPr>
              <w:t>20,1</w:t>
            </w:r>
          </w:p>
        </w:tc>
        <w:tc>
          <w:tcPr>
            <w:tcW w:type="dxa" w:w="1440"/>
          </w:tcPr>
          <w:p>
            <w:r>
              <w:rPr>
                <w:sz w:val="18"/>
              </w:rPr>
              <w:t>-3,5</w:t>
            </w:r>
          </w:p>
        </w:tc>
        <w:tc>
          <w:tcPr>
            <w:tcW w:type="dxa" w:w="1440"/>
          </w:tcPr>
          <w:p>
            <w:r>
              <w:rPr>
                <w:sz w:val="18"/>
              </w:rPr>
              <w:t>-17,4 %</w:t>
            </w:r>
          </w:p>
        </w:tc>
      </w:tr>
    </w:tbl>
    <w:p>
      <w:pPr>
        <w:pStyle w:val="Heading1"/>
      </w:pPr>
      <w:r>
        <w:t>Conclusiones</w:t>
      </w:r>
    </w:p>
    <w:p>
      <w:r>
        <w:t xml:space="preserve">En ICCP, Lo Velásquez, gimnasio y piscina la comparación es homóloga: misma estación, mismos días de la semana y la última semana con control WES contra esta semana sin control. El aumento de volumen se concentra en ICCP (Cumbre de Cóndores pte.), Piscina municipal. En Esc. Lo Velásquez, Gimnasio municipal el periodo sin WES no gasta más que la semana con control. </w:t>
      </w:r>
    </w:p>
    <w:p>
      <w:r>
        <w:t>En Colegio ICCO Renca el sin control no se puede repetir una semana completa: el estanque de la sala de bombas se vacía y no se recupera, y eso afectaría el funcionamiento normal del colegio. El único día sin WES fue el domingo 16/08 (40,1 m³). El rendimiento totalizado frente al domingo homólogo 09/08 es 5 % (2 m³). Los días de clases con WES gastan más que ese domingo por ocupación, no porque el control suba el consumo.</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