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INFORME TÉCNICO</w:t>
      </w:r>
    </w:p>
    <w:p>
      <w:pPr>
        <w:jc w:val="center"/>
      </w:pPr>
      <w:r>
        <w:rPr>
          <w:color w:val="003366"/>
          <w:sz w:val="22"/>
        </w:rPr>
        <w:t>Fundo Zapallar — Descuadre boleta ESVAL vs WES</w:t>
        <w:br/>
        <w:t>Hipótesis de sobre-registro del medidor fiscal</w:t>
        <w:br/>
        <w:t>y contraste Matriz ESVAL ↔ Estanque Inferior</w:t>
      </w:r>
    </w:p>
    <w:p>
      <w:pPr>
        <w:jc w:val="center"/>
      </w:pPr>
      <w:r>
        <w:rPr>
          <w:sz w:val="18"/>
        </w:rPr>
        <w:t>Fecha: 16/09/2026</w:t>
        <w:br/>
        <w:t>Cliente ESVAL 631203-9 · Medidor fiscal 131586</w:t>
        <w:br/>
        <w:t>Puntos WES: 000027-01 Matriz ESVAL · 000027-02 Estanque Inferior</w:t>
        <w:br/>
        <w:t>Elaborado por: Sociedad Tecnológica WES SpA — Operaciones</w:t>
      </w:r>
    </w:p>
    <w:p>
      <w:pPr>
        <w:pStyle w:val="Heading1"/>
        <w:keepNext/>
        <w:widowControl/>
        <w:spacing w:after="60"/>
      </w:pPr>
      <w:r>
        <w:rPr>
          <w:b/>
          <w:color w:val="003366"/>
        </w:rPr>
        <w:t>1. RESUMEN EJECUTIVO</w:t>
      </w:r>
    </w:p>
    <w:p>
      <w:pPr>
        <w:pStyle w:val="ListNumber"/>
      </w:pPr>
      <w:r>
        <w:t>Esto pasa: en varios ciclos recientes el delta de la boleta ESVAL no coincide con Matriz ESVAL WES (la boleta marca más).</w:t>
      </w:r>
    </w:p>
    <w:p>
      <w:pPr>
        <w:pStyle w:val="ListNumber"/>
      </w:pPr>
      <w:r>
        <w:t>Comparación siguiente: como el caudal de Matriz ESVAL va directo al Estanque Inferior, ambos puntos WES deberían consumir casi lo mismo.</w:t>
      </w:r>
    </w:p>
    <w:p>
      <w:pPr>
        <w:pStyle w:val="ListNumber"/>
      </w:pPr>
      <w:r>
        <w:t>Resultado: en 6/12 ciclos Matriz ≈ Inferior (±15%). En 4 ciclos la boleta no cuadra y, aun así, Matriz e Inferior sí conversan.</w:t>
      </w:r>
    </w:p>
    <w:p>
      <w:pPr>
        <w:pStyle w:val="ListNumber"/>
      </w:pPr>
      <w:r>
        <w:t>Con eso se levanta la hipótesis: el medidor fiscal ESVAL puede estar sobre-registrando. Hay que validarlo en terreno (fotos + lecturas en paralelo).</w:t>
      </w:r>
    </w:p>
    <w:p>
      <w:pPr>
        <w:pStyle w:val="Heading1"/>
        <w:keepNext/>
        <w:widowControl/>
        <w:spacing w:after="60"/>
      </w:pPr>
      <w:r>
        <w:rPr>
          <w:b/>
          <w:color w:val="003366"/>
        </w:rPr>
        <w:t>2. CONTEXTO HIDRÁULICO (POR QUÉ IMPORTA INFERIOR)</w:t>
      </w:r>
    </w:p>
    <w:p>
      <w:r>
        <w:t>El medidor de Matriz ESVAL está en el arranque de entrada y el agua va directo al Estanque Inferior (con bomba/arranque mínimo). Por diseño, el volumen de Matriz ESVAL y el de Estanque Inferior deben ser iguales o muy cercanos. Si dos caudalímetros ultrasónicos WES, en ubicaciones distintas pero en serie, leen coherente entre sí, es poco probable que “fallen igual por azar”. Eso permite contrastar la boleta fiscal contra una referencia interna consistente.</w:t>
      </w:r>
    </w:p>
    <w:p>
      <w:pPr>
        <w:pStyle w:val="Heading1"/>
        <w:keepNext/>
        <w:widowControl/>
        <w:spacing w:after="60"/>
      </w:pPr>
      <w:r>
        <w:rPr>
          <w:b/>
          <w:color w:val="003366"/>
        </w:rPr>
        <w:t>3. CRITERIOS DE CHECK</w:t>
      </w:r>
    </w:p>
    <w:p>
      <w:pPr>
        <w:pStyle w:val="ListBullet"/>
      </w:pPr>
      <w:r>
        <w:t>Check boleta: delta boleta ESVAL ≈ Matriz WES (diferencia ≤ 5%).</w:t>
      </w:r>
    </w:p>
    <w:p>
      <w:pPr>
        <w:pStyle w:val="ListBullet"/>
      </w:pPr>
      <w:r>
        <w:t>Check WES↔WES: Matriz ESVAL ≈ Estanque Inferior (Inf/Matriz entre 85% y 115%).</w:t>
      </w:r>
    </w:p>
    <w:p>
      <w:pPr>
        <w:pStyle w:val="ListBullet"/>
      </w:pPr>
      <w:r>
        <w:t>¿Apoya hipótesis?: Check boleta = NO y Check WES↔WES = SÍ. Eso significa: la sanitaria no cuadra, pero mis dos medidores WES sí conversan.</w:t>
      </w:r>
    </w:p>
    <w:p>
      <w:r>
        <w:t>Criterio horario boleta↔WES: se asume lectura ~12:00 Chile (desde 12:00 del día de lectura inicial hasta 12:00 del día de lectura final).</w:t>
      </w:r>
    </w:p>
    <w:p>
      <w:pPr>
        <w:pStyle w:val="Heading1"/>
        <w:keepNext/>
        <w:widowControl/>
        <w:spacing w:after="60"/>
      </w:pPr>
      <w:r>
        <w:rPr>
          <w:b/>
          <w:color w:val="003366"/>
        </w:rPr>
        <w:t>4. TABLERO DE CHECKS (12 CICLOS)</w:t>
      </w:r>
    </w:p>
    <w:tbl>
      <w:tblPr>
        <w:tblStyle w:val="TableGrid"/>
        <w:tblW w:type="auto" w:w="0"/>
        <w:tblLook w:firstColumn="1" w:firstRow="1" w:lastColumn="0" w:lastRow="0" w:noHBand="0" w:noVBand="1" w:val="04A0"/>
      </w:tblPr>
      <w:tblGrid>
        <w:gridCol w:w="1473"/>
        <w:gridCol w:w="1473"/>
        <w:gridCol w:w="1473"/>
        <w:gridCol w:w="1473"/>
        <w:gridCol w:w="1473"/>
        <w:gridCol w:w="1473"/>
        <w:gridCol w:w="1473"/>
      </w:tblGrid>
      <w:tr>
        <w:trPr>
          <w:cantSplit/>
        </w:trPr>
        <w:tc>
          <w:tcPr>
            <w:tcW w:type="dxa" w:w="1473"/>
            <w:shd w:val="clear" w:fill="003366"/>
          </w:tcPr>
          <w:p>
            <w:pPr>
              <w:spacing w:before="20" w:after="20"/>
            </w:pPr>
            <w:r>
              <w:rPr>
                <w:b/>
                <w:color w:val="FFFFFF"/>
                <w:sz w:val="18"/>
              </w:rPr>
              <w:t>Ciclo</w:t>
            </w:r>
          </w:p>
        </w:tc>
        <w:tc>
          <w:tcPr>
            <w:tcW w:type="dxa" w:w="1473"/>
            <w:shd w:val="clear" w:fill="003366"/>
          </w:tcPr>
          <w:p>
            <w:pPr>
              <w:spacing w:before="20" w:after="20"/>
            </w:pPr>
            <w:r>
              <w:rPr>
                <w:b/>
                <w:color w:val="FFFFFF"/>
                <w:sz w:val="18"/>
              </w:rPr>
              <w:t>Boleta</w:t>
              <w:br/>
              <w:t>(m³)</w:t>
            </w:r>
          </w:p>
        </w:tc>
        <w:tc>
          <w:tcPr>
            <w:tcW w:type="dxa" w:w="1473"/>
            <w:shd w:val="clear" w:fill="003366"/>
          </w:tcPr>
          <w:p>
            <w:pPr>
              <w:spacing w:before="20" w:after="20"/>
            </w:pPr>
            <w:r>
              <w:rPr>
                <w:b/>
                <w:color w:val="FFFFFF"/>
                <w:sz w:val="18"/>
              </w:rPr>
              <w:t>Matriz</w:t>
              <w:br/>
              <w:t>WES</w:t>
            </w:r>
          </w:p>
        </w:tc>
        <w:tc>
          <w:tcPr>
            <w:tcW w:type="dxa" w:w="1473"/>
            <w:shd w:val="clear" w:fill="003366"/>
          </w:tcPr>
          <w:p>
            <w:pPr>
              <w:spacing w:before="20" w:after="20"/>
            </w:pPr>
            <w:r>
              <w:rPr>
                <w:b/>
                <w:color w:val="FFFFFF"/>
                <w:sz w:val="18"/>
              </w:rPr>
              <w:t>Inferior</w:t>
              <w:br/>
              <w:t>WES</w:t>
            </w:r>
          </w:p>
        </w:tc>
        <w:tc>
          <w:tcPr>
            <w:tcW w:type="dxa" w:w="1473"/>
            <w:shd w:val="clear" w:fill="003366"/>
          </w:tcPr>
          <w:p>
            <w:pPr>
              <w:spacing w:before="20" w:after="20"/>
            </w:pPr>
            <w:r>
              <w:rPr>
                <w:b/>
                <w:color w:val="FFFFFF"/>
                <w:sz w:val="18"/>
              </w:rPr>
              <w:t>Check</w:t>
              <w:br/>
              <w:t>boleta</w:t>
            </w:r>
          </w:p>
        </w:tc>
        <w:tc>
          <w:tcPr>
            <w:tcW w:type="dxa" w:w="1473"/>
            <w:shd w:val="clear" w:fill="003366"/>
          </w:tcPr>
          <w:p>
            <w:pPr>
              <w:spacing w:before="20" w:after="20"/>
            </w:pPr>
            <w:r>
              <w:rPr>
                <w:b/>
                <w:color w:val="FFFFFF"/>
                <w:sz w:val="18"/>
              </w:rPr>
              <w:t>Check</w:t>
              <w:br/>
              <w:t>WES↔WES</w:t>
            </w:r>
          </w:p>
        </w:tc>
        <w:tc>
          <w:tcPr>
            <w:tcW w:type="dxa" w:w="1473"/>
            <w:shd w:val="clear" w:fill="003366"/>
          </w:tcPr>
          <w:p>
            <w:pPr>
              <w:spacing w:before="20" w:after="20"/>
            </w:pPr>
            <w:r>
              <w:rPr>
                <w:b/>
                <w:color w:val="FFFFFF"/>
                <w:sz w:val="18"/>
              </w:rPr>
              <w:t>¿Apoya</w:t>
              <w:br/>
              <w:t>hipótesis?</w:t>
            </w:r>
          </w:p>
        </w:tc>
      </w:tr>
      <w:tr>
        <w:trPr>
          <w:cantSplit/>
        </w:trPr>
        <w:tc>
          <w:tcPr>
            <w:tcW w:type="dxa" w:w="1473"/>
            <w:shd w:val="clear" w:fill="FFE6E6"/>
          </w:tcPr>
          <w:p>
            <w:pPr>
              <w:spacing w:before="20" w:after="20"/>
            </w:pPr>
            <w:r>
              <w:rPr>
                <w:b/>
                <w:color w:val="C80000"/>
                <w:sz w:val="16"/>
              </w:rPr>
              <w:t>28/08–27/09/25</w:t>
            </w:r>
          </w:p>
        </w:tc>
        <w:tc>
          <w:tcPr>
            <w:tcW w:type="dxa" w:w="1473"/>
            <w:shd w:val="clear" w:fill="FFE6E6"/>
          </w:tcPr>
          <w:p>
            <w:pPr>
              <w:spacing w:before="20" w:after="20"/>
            </w:pPr>
            <w:r>
              <w:rPr>
                <w:b/>
                <w:color w:val="C80000"/>
                <w:sz w:val="16"/>
              </w:rPr>
              <w:t>3.375</w:t>
            </w:r>
          </w:p>
        </w:tc>
        <w:tc>
          <w:tcPr>
            <w:tcW w:type="dxa" w:w="1473"/>
            <w:shd w:val="clear" w:fill="FFE6E6"/>
          </w:tcPr>
          <w:p>
            <w:pPr>
              <w:spacing w:before="20" w:after="20"/>
            </w:pPr>
            <w:r>
              <w:rPr>
                <w:b/>
                <w:color w:val="C80000"/>
                <w:sz w:val="16"/>
              </w:rPr>
              <w:t>3.189</w:t>
            </w:r>
          </w:p>
        </w:tc>
        <w:tc>
          <w:tcPr>
            <w:tcW w:type="dxa" w:w="1473"/>
            <w:shd w:val="clear" w:fill="FFE6E6"/>
          </w:tcPr>
          <w:p>
            <w:pPr>
              <w:spacing w:before="20" w:after="20"/>
            </w:pPr>
            <w:r>
              <w:rPr>
                <w:b/>
                <w:color w:val="C80000"/>
                <w:sz w:val="16"/>
              </w:rPr>
              <w:t>2.982</w:t>
            </w:r>
          </w:p>
        </w:tc>
        <w:tc>
          <w:tcPr>
            <w:tcW w:type="dxa" w:w="1473"/>
            <w:shd w:val="clear" w:fill="FFE6E6"/>
          </w:tcPr>
          <w:p>
            <w:pPr>
              <w:spacing w:before="20" w:after="20"/>
            </w:pPr>
            <w:r>
              <w:rPr>
                <w:b/>
                <w:color w:val="C80000"/>
                <w:sz w:val="16"/>
              </w:rPr>
              <w:t>✗ (-5.5%)</w:t>
            </w:r>
          </w:p>
        </w:tc>
        <w:tc>
          <w:tcPr>
            <w:tcW w:type="dxa" w:w="1473"/>
            <w:shd w:val="clear" w:fill="FFE6E6"/>
          </w:tcPr>
          <w:p>
            <w:pPr>
              <w:spacing w:before="20" w:after="20"/>
            </w:pPr>
            <w:r>
              <w:rPr>
                <w:b/>
                <w:color w:val="C80000"/>
                <w:sz w:val="16"/>
              </w:rPr>
              <w:t>✓ (94%)</w:t>
            </w:r>
          </w:p>
        </w:tc>
        <w:tc>
          <w:tcPr>
            <w:tcW w:type="dxa" w:w="1473"/>
            <w:shd w:val="clear" w:fill="FFE6E6"/>
          </w:tcPr>
          <w:p>
            <w:pPr>
              <w:spacing w:before="20" w:after="20"/>
            </w:pPr>
            <w:r>
              <w:rPr>
                <w:b/>
                <w:color w:val="C80000"/>
                <w:sz w:val="16"/>
              </w:rPr>
              <w:t>SÍ</w:t>
            </w:r>
          </w:p>
        </w:tc>
      </w:tr>
      <w:tr>
        <w:trPr>
          <w:cantSplit/>
        </w:trPr>
        <w:tc>
          <w:tcPr>
            <w:tcW w:type="dxa" w:w="1473"/>
            <w:shd w:val="clear" w:fill="F2F6FC"/>
          </w:tcPr>
          <w:p>
            <w:pPr>
              <w:spacing w:before="20" w:after="20"/>
            </w:pPr>
            <w:r>
              <w:rPr>
                <w:sz w:val="16"/>
              </w:rPr>
              <w:t>27/09–29/10/25</w:t>
            </w:r>
          </w:p>
        </w:tc>
        <w:tc>
          <w:tcPr>
            <w:tcW w:type="dxa" w:w="1473"/>
            <w:shd w:val="clear" w:fill="F2F6FC"/>
          </w:tcPr>
          <w:p>
            <w:pPr>
              <w:spacing w:before="20" w:after="20"/>
            </w:pPr>
            <w:r>
              <w:rPr>
                <w:sz w:val="16"/>
              </w:rPr>
              <w:t>3.973</w:t>
            </w:r>
          </w:p>
        </w:tc>
        <w:tc>
          <w:tcPr>
            <w:tcW w:type="dxa" w:w="1473"/>
            <w:shd w:val="clear" w:fill="F2F6FC"/>
          </w:tcPr>
          <w:p>
            <w:pPr>
              <w:spacing w:before="20" w:after="20"/>
            </w:pPr>
            <w:r>
              <w:rPr>
                <w:sz w:val="16"/>
              </w:rPr>
              <w:t>4.086</w:t>
            </w:r>
          </w:p>
        </w:tc>
        <w:tc>
          <w:tcPr>
            <w:tcW w:type="dxa" w:w="1473"/>
            <w:shd w:val="clear" w:fill="F2F6FC"/>
          </w:tcPr>
          <w:p>
            <w:pPr>
              <w:spacing w:before="20" w:after="20"/>
            </w:pPr>
            <w:r>
              <w:rPr>
                <w:sz w:val="16"/>
              </w:rPr>
              <w:t>4.267</w:t>
            </w:r>
          </w:p>
        </w:tc>
        <w:tc>
          <w:tcPr>
            <w:tcW w:type="dxa" w:w="1473"/>
            <w:shd w:val="clear" w:fill="F2F6FC"/>
          </w:tcPr>
          <w:p>
            <w:pPr>
              <w:spacing w:before="20" w:after="20"/>
            </w:pPr>
            <w:r>
              <w:rPr>
                <w:sz w:val="16"/>
              </w:rPr>
              <w:t>✓ (+2.9%)</w:t>
            </w:r>
          </w:p>
        </w:tc>
        <w:tc>
          <w:tcPr>
            <w:tcW w:type="dxa" w:w="1473"/>
            <w:shd w:val="clear" w:fill="F2F6FC"/>
          </w:tcPr>
          <w:p>
            <w:pPr>
              <w:spacing w:before="20" w:after="20"/>
            </w:pPr>
            <w:r>
              <w:rPr>
                <w:sz w:val="16"/>
              </w:rPr>
              <w:t>✓ (104%)</w:t>
            </w:r>
          </w:p>
        </w:tc>
        <w:tc>
          <w:tcPr>
            <w:tcW w:type="dxa" w:w="1473"/>
            <w:shd w:val="clear" w:fill="F2F6FC"/>
          </w:tcPr>
          <w:p>
            <w:pPr>
              <w:spacing w:before="20" w:after="20"/>
            </w:pPr>
            <w:r>
              <w:rPr>
                <w:sz w:val="16"/>
              </w:rPr>
              <w:t>—</w:t>
            </w:r>
          </w:p>
        </w:tc>
      </w:tr>
      <w:tr>
        <w:trPr>
          <w:cantSplit/>
        </w:trPr>
        <w:tc>
          <w:tcPr>
            <w:tcW w:type="dxa" w:w="1473"/>
          </w:tcPr>
          <w:p>
            <w:pPr>
              <w:spacing w:before="20" w:after="20"/>
            </w:pPr>
            <w:r>
              <w:rPr>
                <w:sz w:val="16"/>
              </w:rPr>
              <w:t>29/10–28/11/25</w:t>
            </w:r>
          </w:p>
        </w:tc>
        <w:tc>
          <w:tcPr>
            <w:tcW w:type="dxa" w:w="1473"/>
          </w:tcPr>
          <w:p>
            <w:pPr>
              <w:spacing w:before="20" w:after="20"/>
            </w:pPr>
            <w:r>
              <w:rPr>
                <w:sz w:val="16"/>
              </w:rPr>
              <w:t>5.711</w:t>
            </w:r>
          </w:p>
        </w:tc>
        <w:tc>
          <w:tcPr>
            <w:tcW w:type="dxa" w:w="1473"/>
          </w:tcPr>
          <w:p>
            <w:pPr>
              <w:spacing w:before="20" w:after="20"/>
            </w:pPr>
            <w:r>
              <w:rPr>
                <w:sz w:val="16"/>
              </w:rPr>
              <w:t>5.678</w:t>
            </w:r>
          </w:p>
        </w:tc>
        <w:tc>
          <w:tcPr>
            <w:tcW w:type="dxa" w:w="1473"/>
          </w:tcPr>
          <w:p>
            <w:pPr>
              <w:spacing w:before="20" w:after="20"/>
            </w:pPr>
            <w:r>
              <w:rPr>
                <w:sz w:val="16"/>
              </w:rPr>
              <w:t>5.081</w:t>
            </w:r>
          </w:p>
        </w:tc>
        <w:tc>
          <w:tcPr>
            <w:tcW w:type="dxa" w:w="1473"/>
          </w:tcPr>
          <w:p>
            <w:pPr>
              <w:spacing w:before="20" w:after="20"/>
            </w:pPr>
            <w:r>
              <w:rPr>
                <w:sz w:val="16"/>
              </w:rPr>
              <w:t>✓ (-0.6%)</w:t>
            </w:r>
          </w:p>
        </w:tc>
        <w:tc>
          <w:tcPr>
            <w:tcW w:type="dxa" w:w="1473"/>
          </w:tcPr>
          <w:p>
            <w:pPr>
              <w:spacing w:before="20" w:after="20"/>
            </w:pPr>
            <w:r>
              <w:rPr>
                <w:sz w:val="16"/>
              </w:rPr>
              <w:t>✓ (89%)</w:t>
            </w:r>
          </w:p>
        </w:tc>
        <w:tc>
          <w:tcPr>
            <w:tcW w:type="dxa" w:w="1473"/>
          </w:tcPr>
          <w:p>
            <w:pPr>
              <w:spacing w:before="20" w:after="20"/>
            </w:pPr>
            <w:r>
              <w:rPr>
                <w:sz w:val="16"/>
              </w:rPr>
              <w:t>—</w:t>
            </w:r>
          </w:p>
        </w:tc>
      </w:tr>
      <w:tr>
        <w:trPr>
          <w:cantSplit/>
        </w:trPr>
        <w:tc>
          <w:tcPr>
            <w:tcW w:type="dxa" w:w="1473"/>
            <w:shd w:val="clear" w:fill="F2F6FC"/>
          </w:tcPr>
          <w:p>
            <w:pPr>
              <w:spacing w:before="20" w:after="20"/>
            </w:pPr>
            <w:r>
              <w:rPr>
                <w:sz w:val="16"/>
              </w:rPr>
              <w:t>28/11–30/12/25</w:t>
            </w:r>
          </w:p>
        </w:tc>
        <w:tc>
          <w:tcPr>
            <w:tcW w:type="dxa" w:w="1473"/>
            <w:shd w:val="clear" w:fill="F2F6FC"/>
          </w:tcPr>
          <w:p>
            <w:pPr>
              <w:spacing w:before="20" w:after="20"/>
            </w:pPr>
            <w:r>
              <w:rPr>
                <w:sz w:val="16"/>
              </w:rPr>
              <w:t>6.319</w:t>
            </w:r>
          </w:p>
        </w:tc>
        <w:tc>
          <w:tcPr>
            <w:tcW w:type="dxa" w:w="1473"/>
            <w:shd w:val="clear" w:fill="F2F6FC"/>
          </w:tcPr>
          <w:p>
            <w:pPr>
              <w:spacing w:before="20" w:after="20"/>
            </w:pPr>
            <w:r>
              <w:rPr>
                <w:sz w:val="16"/>
              </w:rPr>
              <w:t>6.269</w:t>
            </w:r>
          </w:p>
        </w:tc>
        <w:tc>
          <w:tcPr>
            <w:tcW w:type="dxa" w:w="1473"/>
            <w:shd w:val="clear" w:fill="F2F6FC"/>
          </w:tcPr>
          <w:p>
            <w:pPr>
              <w:spacing w:before="20" w:after="20"/>
            </w:pPr>
            <w:r>
              <w:rPr>
                <w:sz w:val="16"/>
              </w:rPr>
              <w:t>5.309</w:t>
            </w:r>
          </w:p>
        </w:tc>
        <w:tc>
          <w:tcPr>
            <w:tcW w:type="dxa" w:w="1473"/>
            <w:shd w:val="clear" w:fill="F2F6FC"/>
          </w:tcPr>
          <w:p>
            <w:pPr>
              <w:spacing w:before="20" w:after="20"/>
            </w:pPr>
            <w:r>
              <w:rPr>
                <w:sz w:val="16"/>
              </w:rPr>
              <w:t>✓ (-0.8%)</w:t>
            </w:r>
          </w:p>
        </w:tc>
        <w:tc>
          <w:tcPr>
            <w:tcW w:type="dxa" w:w="1473"/>
            <w:shd w:val="clear" w:fill="F2F6FC"/>
          </w:tcPr>
          <w:p>
            <w:pPr>
              <w:spacing w:before="20" w:after="20"/>
            </w:pPr>
            <w:r>
              <w:rPr>
                <w:sz w:val="16"/>
              </w:rPr>
              <w:t>~ (85%)</w:t>
            </w:r>
          </w:p>
        </w:tc>
        <w:tc>
          <w:tcPr>
            <w:tcW w:type="dxa" w:w="1473"/>
            <w:shd w:val="clear" w:fill="F2F6FC"/>
          </w:tcPr>
          <w:p>
            <w:pPr>
              <w:spacing w:before="20" w:after="20"/>
            </w:pPr>
            <w:r>
              <w:rPr>
                <w:sz w:val="16"/>
              </w:rPr>
              <w:t>—</w:t>
            </w:r>
          </w:p>
        </w:tc>
      </w:tr>
      <w:tr>
        <w:trPr>
          <w:cantSplit/>
        </w:trPr>
        <w:tc>
          <w:tcPr>
            <w:tcW w:type="dxa" w:w="1473"/>
          </w:tcPr>
          <w:p>
            <w:pPr>
              <w:spacing w:before="20" w:after="20"/>
            </w:pPr>
            <w:r>
              <w:rPr>
                <w:sz w:val="16"/>
              </w:rPr>
              <w:t>30/12–30/01/26</w:t>
            </w:r>
          </w:p>
        </w:tc>
        <w:tc>
          <w:tcPr>
            <w:tcW w:type="dxa" w:w="1473"/>
          </w:tcPr>
          <w:p>
            <w:pPr>
              <w:spacing w:before="20" w:after="20"/>
            </w:pPr>
            <w:r>
              <w:rPr>
                <w:sz w:val="16"/>
              </w:rPr>
              <w:t>7.193</w:t>
            </w:r>
          </w:p>
        </w:tc>
        <w:tc>
          <w:tcPr>
            <w:tcW w:type="dxa" w:w="1473"/>
          </w:tcPr>
          <w:p>
            <w:pPr>
              <w:spacing w:before="20" w:after="20"/>
            </w:pPr>
            <w:r>
              <w:rPr>
                <w:sz w:val="16"/>
              </w:rPr>
              <w:t>7.200</w:t>
            </w:r>
          </w:p>
        </w:tc>
        <w:tc>
          <w:tcPr>
            <w:tcW w:type="dxa" w:w="1473"/>
          </w:tcPr>
          <w:p>
            <w:pPr>
              <w:spacing w:before="20" w:after="20"/>
            </w:pPr>
            <w:r>
              <w:rPr>
                <w:sz w:val="16"/>
              </w:rPr>
              <w:t>6.109</w:t>
            </w:r>
          </w:p>
        </w:tc>
        <w:tc>
          <w:tcPr>
            <w:tcW w:type="dxa" w:w="1473"/>
          </w:tcPr>
          <w:p>
            <w:pPr>
              <w:spacing w:before="20" w:after="20"/>
            </w:pPr>
            <w:r>
              <w:rPr>
                <w:sz w:val="16"/>
              </w:rPr>
              <w:t>✓ (+0.1%)</w:t>
            </w:r>
          </w:p>
        </w:tc>
        <w:tc>
          <w:tcPr>
            <w:tcW w:type="dxa" w:w="1473"/>
          </w:tcPr>
          <w:p>
            <w:pPr>
              <w:spacing w:before="20" w:after="20"/>
            </w:pPr>
            <w:r>
              <w:rPr>
                <w:sz w:val="16"/>
              </w:rPr>
              <w:t>~ (85%)</w:t>
            </w:r>
          </w:p>
        </w:tc>
        <w:tc>
          <w:tcPr>
            <w:tcW w:type="dxa" w:w="1473"/>
          </w:tcPr>
          <w:p>
            <w:pPr>
              <w:spacing w:before="20" w:after="20"/>
            </w:pPr>
            <w:r>
              <w:rPr>
                <w:sz w:val="16"/>
              </w:rPr>
              <w:t>—</w:t>
            </w:r>
          </w:p>
        </w:tc>
      </w:tr>
      <w:tr>
        <w:trPr>
          <w:cantSplit/>
        </w:trPr>
        <w:tc>
          <w:tcPr>
            <w:tcW w:type="dxa" w:w="1473"/>
            <w:shd w:val="clear" w:fill="FFE6E6"/>
          </w:tcPr>
          <w:p>
            <w:pPr>
              <w:spacing w:before="20" w:after="20"/>
            </w:pPr>
            <w:r>
              <w:rPr>
                <w:b/>
                <w:color w:val="C80000"/>
                <w:sz w:val="16"/>
              </w:rPr>
              <w:t>30/01–27/02/26</w:t>
            </w:r>
          </w:p>
        </w:tc>
        <w:tc>
          <w:tcPr>
            <w:tcW w:type="dxa" w:w="1473"/>
            <w:shd w:val="clear" w:fill="FFE6E6"/>
          </w:tcPr>
          <w:p>
            <w:pPr>
              <w:spacing w:before="20" w:after="20"/>
            </w:pPr>
            <w:r>
              <w:rPr>
                <w:b/>
                <w:color w:val="C80000"/>
                <w:sz w:val="16"/>
              </w:rPr>
              <w:t>6.478</w:t>
            </w:r>
          </w:p>
        </w:tc>
        <w:tc>
          <w:tcPr>
            <w:tcW w:type="dxa" w:w="1473"/>
            <w:shd w:val="clear" w:fill="FFE6E6"/>
          </w:tcPr>
          <w:p>
            <w:pPr>
              <w:spacing w:before="20" w:after="20"/>
            </w:pPr>
            <w:r>
              <w:rPr>
                <w:b/>
                <w:color w:val="C80000"/>
                <w:sz w:val="16"/>
              </w:rPr>
              <w:t>5.716</w:t>
            </w:r>
          </w:p>
        </w:tc>
        <w:tc>
          <w:tcPr>
            <w:tcW w:type="dxa" w:w="1473"/>
            <w:shd w:val="clear" w:fill="FFE6E6"/>
          </w:tcPr>
          <w:p>
            <w:pPr>
              <w:spacing w:before="20" w:after="20"/>
            </w:pPr>
            <w:r>
              <w:rPr>
                <w:b/>
                <w:color w:val="C80000"/>
                <w:sz w:val="16"/>
              </w:rPr>
              <w:t>6.432</w:t>
            </w:r>
          </w:p>
        </w:tc>
        <w:tc>
          <w:tcPr>
            <w:tcW w:type="dxa" w:w="1473"/>
            <w:shd w:val="clear" w:fill="FFE6E6"/>
          </w:tcPr>
          <w:p>
            <w:pPr>
              <w:spacing w:before="20" w:after="20"/>
            </w:pPr>
            <w:r>
              <w:rPr>
                <w:b/>
                <w:color w:val="C80000"/>
                <w:sz w:val="16"/>
              </w:rPr>
              <w:t>✗ (-11.8%)</w:t>
            </w:r>
          </w:p>
        </w:tc>
        <w:tc>
          <w:tcPr>
            <w:tcW w:type="dxa" w:w="1473"/>
            <w:shd w:val="clear" w:fill="FFE6E6"/>
          </w:tcPr>
          <w:p>
            <w:pPr>
              <w:spacing w:before="20" w:after="20"/>
            </w:pPr>
            <w:r>
              <w:rPr>
                <w:b/>
                <w:color w:val="C80000"/>
                <w:sz w:val="16"/>
              </w:rPr>
              <w:t>✓ (113%)</w:t>
            </w:r>
          </w:p>
        </w:tc>
        <w:tc>
          <w:tcPr>
            <w:tcW w:type="dxa" w:w="1473"/>
            <w:shd w:val="clear" w:fill="FFE6E6"/>
          </w:tcPr>
          <w:p>
            <w:pPr>
              <w:spacing w:before="20" w:after="20"/>
            </w:pPr>
            <w:r>
              <w:rPr>
                <w:b/>
                <w:color w:val="C80000"/>
                <w:sz w:val="16"/>
              </w:rPr>
              <w:t>SÍ</w:t>
            </w:r>
          </w:p>
        </w:tc>
      </w:tr>
      <w:tr>
        <w:trPr>
          <w:cantSplit/>
        </w:trPr>
        <w:tc>
          <w:tcPr>
            <w:tcW w:type="dxa" w:w="1473"/>
          </w:tcPr>
          <w:p>
            <w:pPr>
              <w:spacing w:before="20" w:after="20"/>
            </w:pPr>
            <w:r>
              <w:rPr>
                <w:sz w:val="16"/>
              </w:rPr>
              <w:t>27/02–30/03/26</w:t>
            </w:r>
          </w:p>
        </w:tc>
        <w:tc>
          <w:tcPr>
            <w:tcW w:type="dxa" w:w="1473"/>
          </w:tcPr>
          <w:p>
            <w:pPr>
              <w:spacing w:before="20" w:after="20"/>
            </w:pPr>
            <w:r>
              <w:rPr>
                <w:sz w:val="16"/>
              </w:rPr>
              <w:t>6.793</w:t>
            </w:r>
          </w:p>
        </w:tc>
        <w:tc>
          <w:tcPr>
            <w:tcW w:type="dxa" w:w="1473"/>
          </w:tcPr>
          <w:p>
            <w:pPr>
              <w:spacing w:before="20" w:after="20"/>
            </w:pPr>
            <w:r>
              <w:rPr>
                <w:sz w:val="16"/>
              </w:rPr>
              <w:t>1.867</w:t>
            </w:r>
          </w:p>
        </w:tc>
        <w:tc>
          <w:tcPr>
            <w:tcW w:type="dxa" w:w="1473"/>
          </w:tcPr>
          <w:p>
            <w:pPr>
              <w:spacing w:before="20" w:after="20"/>
            </w:pPr>
            <w:r>
              <w:rPr>
                <w:sz w:val="16"/>
              </w:rPr>
              <w:t>11.809</w:t>
            </w:r>
          </w:p>
        </w:tc>
        <w:tc>
          <w:tcPr>
            <w:tcW w:type="dxa" w:w="1473"/>
          </w:tcPr>
          <w:p>
            <w:pPr>
              <w:spacing w:before="20" w:after="20"/>
            </w:pPr>
            <w:r>
              <w:rPr>
                <w:sz w:val="16"/>
              </w:rPr>
              <w:t>✗ (-72.5%)</w:t>
            </w:r>
          </w:p>
        </w:tc>
        <w:tc>
          <w:tcPr>
            <w:tcW w:type="dxa" w:w="1473"/>
          </w:tcPr>
          <w:p>
            <w:pPr>
              <w:spacing w:before="20" w:after="20"/>
            </w:pPr>
            <w:r>
              <w:rPr>
                <w:sz w:val="16"/>
              </w:rPr>
              <w:t>✗ (633%)</w:t>
            </w:r>
          </w:p>
        </w:tc>
        <w:tc>
          <w:tcPr>
            <w:tcW w:type="dxa" w:w="1473"/>
          </w:tcPr>
          <w:p>
            <w:pPr>
              <w:spacing w:before="20" w:after="20"/>
            </w:pPr>
            <w:r>
              <w:rPr>
                <w:sz w:val="16"/>
              </w:rPr>
              <w:t>N/A</w:t>
            </w:r>
          </w:p>
        </w:tc>
      </w:tr>
      <w:tr>
        <w:trPr>
          <w:cantSplit/>
        </w:trPr>
        <w:tc>
          <w:tcPr>
            <w:tcW w:type="dxa" w:w="1473"/>
            <w:shd w:val="clear" w:fill="F2F6FC"/>
          </w:tcPr>
          <w:p>
            <w:pPr>
              <w:spacing w:before="20" w:after="20"/>
            </w:pPr>
            <w:r>
              <w:rPr>
                <w:sz w:val="16"/>
              </w:rPr>
              <w:t>30/03–29/04/26</w:t>
            </w:r>
          </w:p>
        </w:tc>
        <w:tc>
          <w:tcPr>
            <w:tcW w:type="dxa" w:w="1473"/>
            <w:shd w:val="clear" w:fill="F2F6FC"/>
          </w:tcPr>
          <w:p>
            <w:pPr>
              <w:spacing w:before="20" w:after="20"/>
            </w:pPr>
            <w:r>
              <w:rPr>
                <w:sz w:val="16"/>
              </w:rPr>
              <w:t>6.034</w:t>
            </w:r>
          </w:p>
        </w:tc>
        <w:tc>
          <w:tcPr>
            <w:tcW w:type="dxa" w:w="1473"/>
            <w:shd w:val="clear" w:fill="F2F6FC"/>
          </w:tcPr>
          <w:p>
            <w:pPr>
              <w:spacing w:before="20" w:after="20"/>
            </w:pPr>
            <w:r>
              <w:rPr>
                <w:sz w:val="16"/>
              </w:rPr>
              <w:t>2.997</w:t>
            </w:r>
          </w:p>
        </w:tc>
        <w:tc>
          <w:tcPr>
            <w:tcW w:type="dxa" w:w="1473"/>
            <w:shd w:val="clear" w:fill="F2F6FC"/>
          </w:tcPr>
          <w:p>
            <w:pPr>
              <w:spacing w:before="20" w:after="20"/>
            </w:pPr>
            <w:r>
              <w:rPr>
                <w:sz w:val="16"/>
              </w:rPr>
              <w:t>8.784</w:t>
            </w:r>
          </w:p>
        </w:tc>
        <w:tc>
          <w:tcPr>
            <w:tcW w:type="dxa" w:w="1473"/>
            <w:shd w:val="clear" w:fill="F2F6FC"/>
          </w:tcPr>
          <w:p>
            <w:pPr>
              <w:spacing w:before="20" w:after="20"/>
            </w:pPr>
            <w:r>
              <w:rPr>
                <w:sz w:val="16"/>
              </w:rPr>
              <w:t>✗ (-50.3%)</w:t>
            </w:r>
          </w:p>
        </w:tc>
        <w:tc>
          <w:tcPr>
            <w:tcW w:type="dxa" w:w="1473"/>
            <w:shd w:val="clear" w:fill="F2F6FC"/>
          </w:tcPr>
          <w:p>
            <w:pPr>
              <w:spacing w:before="20" w:after="20"/>
            </w:pPr>
            <w:r>
              <w:rPr>
                <w:sz w:val="16"/>
              </w:rPr>
              <w:t>✗ (293%)</w:t>
            </w:r>
          </w:p>
        </w:tc>
        <w:tc>
          <w:tcPr>
            <w:tcW w:type="dxa" w:w="1473"/>
            <w:shd w:val="clear" w:fill="F2F6FC"/>
          </w:tcPr>
          <w:p>
            <w:pPr>
              <w:spacing w:before="20" w:after="20"/>
            </w:pPr>
            <w:r>
              <w:rPr>
                <w:sz w:val="16"/>
              </w:rPr>
              <w:t>Revisar</w:t>
            </w:r>
          </w:p>
        </w:tc>
      </w:tr>
      <w:tr>
        <w:trPr>
          <w:cantSplit/>
        </w:trPr>
        <w:tc>
          <w:tcPr>
            <w:tcW w:type="dxa" w:w="1473"/>
            <w:shd w:val="clear" w:fill="FFE6E6"/>
          </w:tcPr>
          <w:p>
            <w:pPr>
              <w:spacing w:before="20" w:after="20"/>
            </w:pPr>
            <w:r>
              <w:rPr>
                <w:b/>
                <w:color w:val="C80000"/>
                <w:sz w:val="16"/>
              </w:rPr>
              <w:t>29/04–29/05/26</w:t>
            </w:r>
          </w:p>
        </w:tc>
        <w:tc>
          <w:tcPr>
            <w:tcW w:type="dxa" w:w="1473"/>
            <w:shd w:val="clear" w:fill="FFE6E6"/>
          </w:tcPr>
          <w:p>
            <w:pPr>
              <w:spacing w:before="20" w:after="20"/>
            </w:pPr>
            <w:r>
              <w:rPr>
                <w:b/>
                <w:color w:val="C80000"/>
                <w:sz w:val="16"/>
              </w:rPr>
              <w:t>4.566</w:t>
            </w:r>
          </w:p>
        </w:tc>
        <w:tc>
          <w:tcPr>
            <w:tcW w:type="dxa" w:w="1473"/>
            <w:shd w:val="clear" w:fill="FFE6E6"/>
          </w:tcPr>
          <w:p>
            <w:pPr>
              <w:spacing w:before="20" w:after="20"/>
            </w:pPr>
            <w:r>
              <w:rPr>
                <w:b/>
                <w:color w:val="C80000"/>
                <w:sz w:val="16"/>
              </w:rPr>
              <w:t>3.254</w:t>
            </w:r>
          </w:p>
        </w:tc>
        <w:tc>
          <w:tcPr>
            <w:tcW w:type="dxa" w:w="1473"/>
            <w:shd w:val="clear" w:fill="FFE6E6"/>
          </w:tcPr>
          <w:p>
            <w:pPr>
              <w:spacing w:before="20" w:after="20"/>
            </w:pPr>
            <w:r>
              <w:rPr>
                <w:b/>
                <w:color w:val="C80000"/>
                <w:sz w:val="16"/>
              </w:rPr>
              <w:t>2.986</w:t>
            </w:r>
          </w:p>
        </w:tc>
        <w:tc>
          <w:tcPr>
            <w:tcW w:type="dxa" w:w="1473"/>
            <w:shd w:val="clear" w:fill="FFE6E6"/>
          </w:tcPr>
          <w:p>
            <w:pPr>
              <w:spacing w:before="20" w:after="20"/>
            </w:pPr>
            <w:r>
              <w:rPr>
                <w:b/>
                <w:color w:val="C80000"/>
                <w:sz w:val="16"/>
              </w:rPr>
              <w:t>✗ (-28.7%)</w:t>
            </w:r>
          </w:p>
        </w:tc>
        <w:tc>
          <w:tcPr>
            <w:tcW w:type="dxa" w:w="1473"/>
            <w:shd w:val="clear" w:fill="FFE6E6"/>
          </w:tcPr>
          <w:p>
            <w:pPr>
              <w:spacing w:before="20" w:after="20"/>
            </w:pPr>
            <w:r>
              <w:rPr>
                <w:b/>
                <w:color w:val="C80000"/>
                <w:sz w:val="16"/>
              </w:rPr>
              <w:t>✓ (92%)</w:t>
            </w:r>
          </w:p>
        </w:tc>
        <w:tc>
          <w:tcPr>
            <w:tcW w:type="dxa" w:w="1473"/>
            <w:shd w:val="clear" w:fill="FFE6E6"/>
          </w:tcPr>
          <w:p>
            <w:pPr>
              <w:spacing w:before="20" w:after="20"/>
            </w:pPr>
            <w:r>
              <w:rPr>
                <w:b/>
                <w:color w:val="C80000"/>
                <w:sz w:val="16"/>
              </w:rPr>
              <w:t>SÍ</w:t>
            </w:r>
          </w:p>
        </w:tc>
      </w:tr>
      <w:tr>
        <w:trPr>
          <w:cantSplit/>
        </w:trPr>
        <w:tc>
          <w:tcPr>
            <w:tcW w:type="dxa" w:w="1473"/>
            <w:shd w:val="clear" w:fill="F2F6FC"/>
          </w:tcPr>
          <w:p>
            <w:pPr>
              <w:spacing w:before="20" w:after="20"/>
            </w:pPr>
            <w:r>
              <w:rPr>
                <w:sz w:val="16"/>
              </w:rPr>
              <w:t>29/05–27/06/26</w:t>
            </w:r>
          </w:p>
        </w:tc>
        <w:tc>
          <w:tcPr>
            <w:tcW w:type="dxa" w:w="1473"/>
            <w:shd w:val="clear" w:fill="F2F6FC"/>
          </w:tcPr>
          <w:p>
            <w:pPr>
              <w:spacing w:before="20" w:after="20"/>
            </w:pPr>
            <w:r>
              <w:rPr>
                <w:sz w:val="16"/>
              </w:rPr>
              <w:t>3.707</w:t>
            </w:r>
          </w:p>
        </w:tc>
        <w:tc>
          <w:tcPr>
            <w:tcW w:type="dxa" w:w="1473"/>
            <w:shd w:val="clear" w:fill="F2F6FC"/>
          </w:tcPr>
          <w:p>
            <w:pPr>
              <w:spacing w:before="20" w:after="20"/>
            </w:pPr>
            <w:r>
              <w:rPr>
                <w:sz w:val="16"/>
              </w:rPr>
              <w:t>2.379</w:t>
            </w:r>
          </w:p>
        </w:tc>
        <w:tc>
          <w:tcPr>
            <w:tcW w:type="dxa" w:w="1473"/>
            <w:shd w:val="clear" w:fill="F2F6FC"/>
          </w:tcPr>
          <w:p>
            <w:pPr>
              <w:spacing w:before="20" w:after="20"/>
            </w:pPr>
            <w:r>
              <w:rPr>
                <w:sz w:val="16"/>
              </w:rPr>
              <w:t>2.931</w:t>
            </w:r>
          </w:p>
        </w:tc>
        <w:tc>
          <w:tcPr>
            <w:tcW w:type="dxa" w:w="1473"/>
            <w:shd w:val="clear" w:fill="F2F6FC"/>
          </w:tcPr>
          <w:p>
            <w:pPr>
              <w:spacing w:before="20" w:after="20"/>
            </w:pPr>
            <w:r>
              <w:rPr>
                <w:sz w:val="16"/>
              </w:rPr>
              <w:t>✗ (-35.8%)</w:t>
            </w:r>
          </w:p>
        </w:tc>
        <w:tc>
          <w:tcPr>
            <w:tcW w:type="dxa" w:w="1473"/>
            <w:shd w:val="clear" w:fill="F2F6FC"/>
          </w:tcPr>
          <w:p>
            <w:pPr>
              <w:spacing w:before="20" w:after="20"/>
            </w:pPr>
            <w:r>
              <w:rPr>
                <w:sz w:val="16"/>
              </w:rPr>
              <w:t>~ (123%)</w:t>
            </w:r>
          </w:p>
        </w:tc>
        <w:tc>
          <w:tcPr>
            <w:tcW w:type="dxa" w:w="1473"/>
            <w:shd w:val="clear" w:fill="F2F6FC"/>
          </w:tcPr>
          <w:p>
            <w:pPr>
              <w:spacing w:before="20" w:after="20"/>
            </w:pPr>
            <w:r>
              <w:rPr>
                <w:sz w:val="16"/>
              </w:rPr>
              <w:t>Revisar</w:t>
            </w:r>
          </w:p>
        </w:tc>
      </w:tr>
      <w:tr>
        <w:trPr>
          <w:cantSplit/>
        </w:trPr>
        <w:tc>
          <w:tcPr>
            <w:tcW w:type="dxa" w:w="1473"/>
          </w:tcPr>
          <w:p>
            <w:pPr>
              <w:spacing w:before="20" w:after="20"/>
            </w:pPr>
            <w:r>
              <w:rPr>
                <w:sz w:val="16"/>
              </w:rPr>
              <w:t>27/06–29/07/26</w:t>
            </w:r>
          </w:p>
        </w:tc>
        <w:tc>
          <w:tcPr>
            <w:tcW w:type="dxa" w:w="1473"/>
          </w:tcPr>
          <w:p>
            <w:pPr>
              <w:spacing w:before="20" w:after="20"/>
            </w:pPr>
            <w:r>
              <w:rPr>
                <w:sz w:val="16"/>
              </w:rPr>
              <w:t>5.067</w:t>
            </w:r>
          </w:p>
        </w:tc>
        <w:tc>
          <w:tcPr>
            <w:tcW w:type="dxa" w:w="1473"/>
          </w:tcPr>
          <w:p>
            <w:pPr>
              <w:spacing w:before="20" w:after="20"/>
            </w:pPr>
            <w:r>
              <w:rPr>
                <w:sz w:val="16"/>
              </w:rPr>
              <w:t>3.239</w:t>
            </w:r>
          </w:p>
        </w:tc>
        <w:tc>
          <w:tcPr>
            <w:tcW w:type="dxa" w:w="1473"/>
          </w:tcPr>
          <w:p>
            <w:pPr>
              <w:spacing w:before="20" w:after="20"/>
            </w:pPr>
            <w:r>
              <w:rPr>
                <w:sz w:val="16"/>
              </w:rPr>
              <w:t>2.339</w:t>
            </w:r>
          </w:p>
        </w:tc>
        <w:tc>
          <w:tcPr>
            <w:tcW w:type="dxa" w:w="1473"/>
          </w:tcPr>
          <w:p>
            <w:pPr>
              <w:spacing w:before="20" w:after="20"/>
            </w:pPr>
            <w:r>
              <w:rPr>
                <w:sz w:val="16"/>
              </w:rPr>
              <w:t>✗ (-36.1%)</w:t>
            </w:r>
          </w:p>
        </w:tc>
        <w:tc>
          <w:tcPr>
            <w:tcW w:type="dxa" w:w="1473"/>
          </w:tcPr>
          <w:p>
            <w:pPr>
              <w:spacing w:before="20" w:after="20"/>
            </w:pPr>
            <w:r>
              <w:rPr>
                <w:sz w:val="16"/>
              </w:rPr>
              <w:t>~ (72%)</w:t>
            </w:r>
          </w:p>
        </w:tc>
        <w:tc>
          <w:tcPr>
            <w:tcW w:type="dxa" w:w="1473"/>
          </w:tcPr>
          <w:p>
            <w:pPr>
              <w:spacing w:before="20" w:after="20"/>
            </w:pPr>
            <w:r>
              <w:rPr>
                <w:sz w:val="16"/>
              </w:rPr>
              <w:t>Revisar</w:t>
            </w:r>
          </w:p>
        </w:tc>
      </w:tr>
      <w:tr>
        <w:trPr>
          <w:cantSplit/>
        </w:trPr>
        <w:tc>
          <w:tcPr>
            <w:tcW w:type="dxa" w:w="1473"/>
            <w:shd w:val="clear" w:fill="FFE6E6"/>
          </w:tcPr>
          <w:p>
            <w:pPr>
              <w:spacing w:before="20" w:after="20"/>
            </w:pPr>
            <w:r>
              <w:rPr>
                <w:b/>
                <w:color w:val="C80000"/>
                <w:sz w:val="16"/>
              </w:rPr>
              <w:t>29/07–28/08/26</w:t>
            </w:r>
          </w:p>
        </w:tc>
        <w:tc>
          <w:tcPr>
            <w:tcW w:type="dxa" w:w="1473"/>
            <w:shd w:val="clear" w:fill="FFE6E6"/>
          </w:tcPr>
          <w:p>
            <w:pPr>
              <w:spacing w:before="20" w:after="20"/>
            </w:pPr>
            <w:r>
              <w:rPr>
                <w:b/>
                <w:color w:val="C80000"/>
                <w:sz w:val="16"/>
              </w:rPr>
              <w:t>2.079</w:t>
            </w:r>
          </w:p>
        </w:tc>
        <w:tc>
          <w:tcPr>
            <w:tcW w:type="dxa" w:w="1473"/>
            <w:shd w:val="clear" w:fill="FFE6E6"/>
          </w:tcPr>
          <w:p>
            <w:pPr>
              <w:spacing w:before="20" w:after="20"/>
            </w:pPr>
            <w:r>
              <w:rPr>
                <w:b/>
                <w:color w:val="C80000"/>
                <w:sz w:val="16"/>
              </w:rPr>
              <w:t>1.754</w:t>
            </w:r>
          </w:p>
        </w:tc>
        <w:tc>
          <w:tcPr>
            <w:tcW w:type="dxa" w:w="1473"/>
            <w:shd w:val="clear" w:fill="FFE6E6"/>
          </w:tcPr>
          <w:p>
            <w:pPr>
              <w:spacing w:before="20" w:after="20"/>
            </w:pPr>
            <w:r>
              <w:rPr>
                <w:b/>
                <w:color w:val="C80000"/>
                <w:sz w:val="16"/>
              </w:rPr>
              <w:t>1.612</w:t>
            </w:r>
          </w:p>
        </w:tc>
        <w:tc>
          <w:tcPr>
            <w:tcW w:type="dxa" w:w="1473"/>
            <w:shd w:val="clear" w:fill="FFE6E6"/>
          </w:tcPr>
          <w:p>
            <w:pPr>
              <w:spacing w:before="20" w:after="20"/>
            </w:pPr>
            <w:r>
              <w:rPr>
                <w:b/>
                <w:color w:val="C80000"/>
                <w:sz w:val="16"/>
              </w:rPr>
              <w:t>✗ (-15.6%)</w:t>
            </w:r>
          </w:p>
        </w:tc>
        <w:tc>
          <w:tcPr>
            <w:tcW w:type="dxa" w:w="1473"/>
            <w:shd w:val="clear" w:fill="FFE6E6"/>
          </w:tcPr>
          <w:p>
            <w:pPr>
              <w:spacing w:before="20" w:after="20"/>
            </w:pPr>
            <w:r>
              <w:rPr>
                <w:b/>
                <w:color w:val="C80000"/>
                <w:sz w:val="16"/>
              </w:rPr>
              <w:t>✓ (92%)</w:t>
            </w:r>
          </w:p>
        </w:tc>
        <w:tc>
          <w:tcPr>
            <w:tcW w:type="dxa" w:w="1473"/>
            <w:shd w:val="clear" w:fill="FFE6E6"/>
          </w:tcPr>
          <w:p>
            <w:pPr>
              <w:spacing w:before="20" w:after="20"/>
            </w:pPr>
            <w:r>
              <w:rPr>
                <w:b/>
                <w:color w:val="C80000"/>
                <w:sz w:val="16"/>
              </w:rPr>
              <w:t>SÍ</w:t>
            </w:r>
          </w:p>
        </w:tc>
      </w:tr>
    </w:tbl>
    <w:p/>
    <w:p>
      <w:r>
        <w:rPr>
          <w:sz w:val="18"/>
        </w:rPr>
        <w:t>Resumen del tablero: boleta OK en 4/12 · WES↔WES OK en 6/12 · ciclos que apoyan la hipótesis: 4 (marcados).</w:t>
      </w:r>
    </w:p>
    <w:p>
      <w:r>
        <w:t>Ciclos que apoyan la hipótesis (boleta ✗ + WES↔WES ✓):</w:t>
      </w:r>
    </w:p>
    <w:p>
      <w:pPr>
        <w:pStyle w:val="ListBullet"/>
      </w:pPr>
      <w:r>
        <w:t>28/08–27/09/25: boleta 3.375 m³ · Matriz 3.189 · Inferior 2.982 (Inf/Matriz 94%)</w:t>
      </w:r>
    </w:p>
    <w:p>
      <w:pPr>
        <w:pStyle w:val="ListBullet"/>
      </w:pPr>
      <w:r>
        <w:t>30/01–27/02/26: boleta 6.478 m³ · Matriz 5.716 · Inferior 6.432 (Inf/Matriz 113%)</w:t>
      </w:r>
    </w:p>
    <w:p>
      <w:pPr>
        <w:pStyle w:val="ListBullet"/>
      </w:pPr>
      <w:r>
        <w:t>29/04–29/05/26: boleta 4.566 m³ · Matriz 3.254 · Inferior 2.986 (Inf/Matriz 92%)</w:t>
      </w:r>
    </w:p>
    <w:p>
      <w:pPr>
        <w:pStyle w:val="ListBullet"/>
      </w:pPr>
      <w:r>
        <w:t>29/07–28/08/26: boleta 2.079 m³ · Matriz 1.754 · Inferior 1.612 (Inf/Matriz 92%)</w:t>
      </w:r>
    </w:p>
    <w:p>
      <w:pPr>
        <w:keepNext/>
        <w:widowControl/>
        <w:spacing w:after="60"/>
        <w:jc w:val="center"/>
      </w:pPr>
      <w:r>
        <w:drawing>
          <wp:inline xmlns:a="http://schemas.openxmlformats.org/drawingml/2006/main" xmlns:pic="http://schemas.openxmlformats.org/drawingml/2006/picture">
            <wp:extent cx="5760720" cy="2618816"/>
            <wp:docPr id="1" name="Picture 1"/>
            <wp:cNvGraphicFramePr>
              <a:graphicFrameLocks noChangeAspect="1"/>
            </wp:cNvGraphicFramePr>
            <a:graphic>
              <a:graphicData uri="http://schemas.openxmlformats.org/drawingml/2006/picture">
                <pic:pic>
                  <pic:nvPicPr>
                    <pic:cNvPr id="0" name="tres_series.png"/>
                    <pic:cNvPicPr/>
                  </pic:nvPicPr>
                  <pic:blipFill>
                    <a:blip r:embed="rId10"/>
                    <a:stretch>
                      <a:fillRect/>
                    </a:stretch>
                  </pic:blipFill>
                  <pic:spPr>
                    <a:xfrm>
                      <a:off x="0" y="0"/>
                      <a:ext cx="5760720" cy="2618816"/>
                    </a:xfrm>
                    <a:prstGeom prst="rect"/>
                  </pic:spPr>
                </pic:pic>
              </a:graphicData>
            </a:graphic>
          </wp:inline>
        </w:drawing>
      </w:r>
    </w:p>
    <w:p>
      <w:r>
        <w:rPr>
          <w:sz w:val="16"/>
        </w:rPr>
        <w:t>Gráfico 1. Tres series por ciclo: boleta, Matriz WES e Inferior WES.</w:t>
      </w:r>
    </w:p>
    <w:p>
      <w:pPr>
        <w:keepNext/>
        <w:widowControl/>
        <w:spacing w:after="60"/>
        <w:jc w:val="center"/>
      </w:pPr>
      <w:r>
        <w:drawing>
          <wp:inline xmlns:a="http://schemas.openxmlformats.org/drawingml/2006/main" xmlns:pic="http://schemas.openxmlformats.org/drawingml/2006/picture">
            <wp:extent cx="5760720" cy="2202430"/>
            <wp:docPr id="2" name="Picture 2"/>
            <wp:cNvGraphicFramePr>
              <a:graphicFrameLocks noChangeAspect="1"/>
            </wp:cNvGraphicFramePr>
            <a:graphic>
              <a:graphicData uri="http://schemas.openxmlformats.org/drawingml/2006/picture">
                <pic:pic>
                  <pic:nvPicPr>
                    <pic:cNvPr id="0" name="ratio_matriz_inferior.png"/>
                    <pic:cNvPicPr/>
                  </pic:nvPicPr>
                  <pic:blipFill>
                    <a:blip r:embed="rId11"/>
                    <a:stretch>
                      <a:fillRect/>
                    </a:stretch>
                  </pic:blipFill>
                  <pic:spPr>
                    <a:xfrm>
                      <a:off x="0" y="0"/>
                      <a:ext cx="5760720" cy="2202430"/>
                    </a:xfrm>
                    <a:prstGeom prst="rect"/>
                  </pic:spPr>
                </pic:pic>
              </a:graphicData>
            </a:graphic>
          </wp:inline>
        </w:drawing>
      </w:r>
    </w:p>
    <w:p>
      <w:r>
        <w:rPr>
          <w:sz w:val="16"/>
        </w:rPr>
        <w:t>Gráfico 2. Ratio Inferior/Matriz (%). Cerca de 100% = conversan.</w:t>
      </w:r>
    </w:p>
    <w:p>
      <w:pPr>
        <w:pStyle w:val="Heading1"/>
        <w:keepNext/>
        <w:widowControl/>
        <w:spacing w:after="60"/>
      </w:pPr>
      <w:r>
        <w:rPr>
          <w:b/>
          <w:color w:val="003366"/>
        </w:rPr>
        <w:t>5. HIPÓTESIS QUE SE LEVANTA</w:t>
      </w:r>
    </w:p>
    <w:p>
      <w:r>
        <w:t>Esto pasa: la facturación (delta del medidor ESVAL) no coincide con Matriz ESVAL WES en varios ciclos.</w:t>
      </w:r>
    </w:p>
    <w:p>
      <w:r>
        <w:t>Pero tengo la comparación siguiente: Matriz ESVAL WES vs Estanque Inferior WES. Como el Inferior se llena desde esa matriz, deben ser casi iguales. En varios de esos mismos ciclos, sí conversan.</w:t>
      </w:r>
    </w:p>
    <w:p>
      <w:r>
        <w:t>Entonces reviso esa evidencia y levanto la hipótesis de que el medidor fiscal ESVAL está marcando más consumo del que realmente corresponde (sobre-registro), porque mis dos ultrasónicos WES —en distintas ubicaciones— leen de forma coherente entre sí.</w:t>
      </w:r>
    </w:p>
    <w:p>
      <w:r>
        <w:rPr>
          <w:b/>
        </w:rPr>
        <w:t>Con eso, hay que hacer visita a terreno para comprobarlo: fotografías, lecturas en paralelo y validación del tramo hidráulico ESVAL → Inferior.</w:t>
      </w:r>
    </w:p>
    <w:p>
      <w:pPr>
        <w:pStyle w:val="Heading1"/>
        <w:keepNext/>
        <w:widowControl/>
        <w:spacing w:after="60"/>
      </w:pPr>
      <w:r>
        <w:rPr>
          <w:b/>
          <w:color w:val="003366"/>
        </w:rPr>
        <w:t>6. LECTURA DE CONTROL RECIENTE (RANGO DEL MEDIDOR FISCAL)</w:t>
      </w:r>
    </w:p>
    <w:tbl>
      <w:tblPr>
        <w:tblStyle w:val="TableGrid"/>
        <w:tblW w:type="auto" w:w="0"/>
        <w:tblLook w:firstColumn="1" w:firstRow="1" w:lastColumn="0" w:lastRow="0" w:noHBand="0" w:noVBand="1" w:val="04A0"/>
      </w:tblPr>
      <w:tblGrid>
        <w:gridCol w:w="5156"/>
        <w:gridCol w:w="5156"/>
      </w:tblGrid>
      <w:tr>
        <w:trPr>
          <w:cantSplit/>
        </w:trPr>
        <w:tc>
          <w:tcPr>
            <w:tcW w:type="dxa" w:w="5156"/>
            <w:shd w:val="clear" w:fill="003366"/>
          </w:tcPr>
          <w:p>
            <w:pPr>
              <w:spacing w:before="20" w:after="20"/>
            </w:pPr>
            <w:r>
              <w:rPr>
                <w:b/>
                <w:color w:val="FFFFFF"/>
                <w:sz w:val="18"/>
              </w:rPr>
              <w:t>Concepto</w:t>
            </w:r>
          </w:p>
        </w:tc>
        <w:tc>
          <w:tcPr>
            <w:tcW w:type="dxa" w:w="5156"/>
            <w:shd w:val="clear" w:fill="003366"/>
          </w:tcPr>
          <w:p>
            <w:pPr>
              <w:spacing w:before="20" w:after="20"/>
            </w:pPr>
            <w:r>
              <w:rPr>
                <w:b/>
                <w:color w:val="FFFFFF"/>
                <w:sz w:val="18"/>
              </w:rPr>
              <w:t>Valor</w:t>
            </w:r>
          </w:p>
        </w:tc>
      </w:tr>
      <w:tr>
        <w:trPr>
          <w:cantSplit/>
        </w:trPr>
        <w:tc>
          <w:tcPr>
            <w:tcW w:type="dxa" w:w="5156"/>
          </w:tcPr>
          <w:p>
            <w:pPr>
              <w:spacing w:before="20" w:after="20"/>
            </w:pPr>
            <w:r>
              <w:rPr>
                <w:sz w:val="16"/>
              </w:rPr>
              <w:t>Última lectura boleta (28/08/2026)</w:t>
            </w:r>
          </w:p>
        </w:tc>
        <w:tc>
          <w:tcPr>
            <w:tcW w:type="dxa" w:w="5156"/>
          </w:tcPr>
          <w:p>
            <w:pPr>
              <w:spacing w:before="20" w:after="20"/>
            </w:pPr>
            <w:r>
              <w:rPr>
                <w:sz w:val="16"/>
              </w:rPr>
              <w:t>380.962</w:t>
            </w:r>
          </w:p>
        </w:tc>
      </w:tr>
      <w:tr>
        <w:trPr>
          <w:cantSplit/>
        </w:trPr>
        <w:tc>
          <w:tcPr>
            <w:tcW w:type="dxa" w:w="5156"/>
            <w:shd w:val="clear" w:fill="F2F6FC"/>
          </w:tcPr>
          <w:p>
            <w:pPr>
              <w:spacing w:before="20" w:after="20"/>
            </w:pPr>
            <w:r>
              <w:rPr>
                <w:sz w:val="16"/>
              </w:rPr>
              <w:t>Lectura reportada (16/09/2026)</w:t>
            </w:r>
          </w:p>
        </w:tc>
        <w:tc>
          <w:tcPr>
            <w:tcW w:type="dxa" w:w="5156"/>
            <w:shd w:val="clear" w:fill="F2F6FC"/>
          </w:tcPr>
          <w:p>
            <w:pPr>
              <w:spacing w:before="20" w:after="20"/>
            </w:pPr>
            <w:r>
              <w:rPr>
                <w:sz w:val="16"/>
              </w:rPr>
              <w:t>382.967</w:t>
            </w:r>
          </w:p>
        </w:tc>
      </w:tr>
      <w:tr>
        <w:trPr>
          <w:cantSplit/>
        </w:trPr>
        <w:tc>
          <w:tcPr>
            <w:tcW w:type="dxa" w:w="5156"/>
          </w:tcPr>
          <w:p>
            <w:pPr>
              <w:spacing w:before="20" w:after="20"/>
            </w:pPr>
            <w:r>
              <w:rPr>
                <w:sz w:val="16"/>
              </w:rPr>
              <w:t>Delta fiscal en 19 días</w:t>
            </w:r>
          </w:p>
        </w:tc>
        <w:tc>
          <w:tcPr>
            <w:tcW w:type="dxa" w:w="5156"/>
          </w:tcPr>
          <w:p>
            <w:pPr>
              <w:spacing w:before="20" w:after="20"/>
            </w:pPr>
            <w:r>
              <w:rPr>
                <w:sz w:val="16"/>
              </w:rPr>
              <w:t>2.005 m³ (~106 m³/día)</w:t>
            </w:r>
          </w:p>
        </w:tc>
      </w:tr>
      <w:tr>
        <w:trPr>
          <w:cantSplit/>
        </w:trPr>
        <w:tc>
          <w:tcPr>
            <w:tcW w:type="dxa" w:w="5156"/>
            <w:shd w:val="clear" w:fill="F2F6FC"/>
          </w:tcPr>
          <w:p>
            <w:pPr>
              <w:spacing w:before="20" w:after="20"/>
            </w:pPr>
            <w:r>
              <w:rPr>
                <w:sz w:val="16"/>
              </w:rPr>
              <w:t>Conclusión de rango</w:t>
            </w:r>
          </w:p>
        </w:tc>
        <w:tc>
          <w:tcPr>
            <w:tcW w:type="dxa" w:w="5156"/>
            <w:shd w:val="clear" w:fill="F2F6FC"/>
          </w:tcPr>
          <w:p>
            <w:pPr>
              <w:spacing w:before="20" w:after="20"/>
            </w:pPr>
            <w:r>
              <w:rPr>
                <w:sz w:val="16"/>
              </w:rPr>
              <w:t>La lectura está dentro de la secuencia del medidor (sin salto absurdo).</w:t>
            </w:r>
          </w:p>
        </w:tc>
      </w:tr>
    </w:tbl>
    <w:p/>
    <w:p>
      <w:r>
        <w:t>Eso confirma que estamos mirando el mismo medidor de facturación; el descuadre está en los volúmenes de ciclo vs WES, no en una lectura “rota” o fuera de serie.</w:t>
      </w:r>
    </w:p>
    <w:p>
      <w:pPr>
        <w:pStyle w:val="Heading1"/>
        <w:keepNext/>
        <w:widowControl/>
        <w:spacing w:after="60"/>
      </w:pPr>
      <w:r>
        <w:rPr>
          <w:b/>
          <w:color w:val="003366"/>
        </w:rPr>
        <w:t>7. PLAN DE VISITA A TERRENO (PARA COMPROBAR LA HIPÓTESIS)</w:t>
      </w:r>
    </w:p>
    <w:p>
      <w:r>
        <w:t>Objetivo de la visita: comprobar en terreno si el medidor fiscal ESVAL sobre-registra, contrastándolo con Matriz ESVAL WES y Estanque Inferior WES el mismo día.</w:t>
      </w:r>
    </w:p>
    <w:tbl>
      <w:tblPr>
        <w:tblStyle w:val="TableGrid"/>
        <w:tblW w:type="auto" w:w="0"/>
        <w:tblLook w:firstColumn="1" w:firstRow="1" w:lastColumn="0" w:lastRow="0" w:noHBand="0" w:noVBand="1" w:val="04A0"/>
      </w:tblPr>
      <w:tblGrid>
        <w:gridCol w:w="3437"/>
        <w:gridCol w:w="3437"/>
        <w:gridCol w:w="3437"/>
      </w:tblGrid>
      <w:tr>
        <w:trPr>
          <w:cantSplit/>
        </w:trPr>
        <w:tc>
          <w:tcPr>
            <w:tcW w:type="dxa" w:w="3437"/>
            <w:shd w:val="clear" w:fill="003366"/>
          </w:tcPr>
          <w:p>
            <w:pPr>
              <w:spacing w:before="20" w:after="20"/>
            </w:pPr>
            <w:r>
              <w:rPr>
                <w:b/>
                <w:color w:val="FFFFFF"/>
                <w:sz w:val="18"/>
              </w:rPr>
              <w:t>Visita / paso</w:t>
            </w:r>
          </w:p>
        </w:tc>
        <w:tc>
          <w:tcPr>
            <w:tcW w:type="dxa" w:w="3437"/>
            <w:shd w:val="clear" w:fill="003366"/>
          </w:tcPr>
          <w:p>
            <w:pPr>
              <w:spacing w:before="20" w:after="20"/>
            </w:pPr>
            <w:r>
              <w:rPr>
                <w:b/>
                <w:color w:val="FFFFFF"/>
                <w:sz w:val="18"/>
              </w:rPr>
              <w:t>Qué hacer</w:t>
            </w:r>
          </w:p>
        </w:tc>
        <w:tc>
          <w:tcPr>
            <w:tcW w:type="dxa" w:w="3437"/>
            <w:shd w:val="clear" w:fill="003366"/>
          </w:tcPr>
          <w:p>
            <w:pPr>
              <w:spacing w:before="20" w:after="20"/>
            </w:pPr>
            <w:r>
              <w:rPr>
                <w:b/>
                <w:color w:val="FFFFFF"/>
                <w:sz w:val="18"/>
              </w:rPr>
              <w:t>Evidencia</w:t>
            </w:r>
          </w:p>
        </w:tc>
      </w:tr>
      <w:tr>
        <w:trPr>
          <w:cantSplit/>
        </w:trPr>
        <w:tc>
          <w:tcPr>
            <w:tcW w:type="dxa" w:w="3437"/>
          </w:tcPr>
          <w:p>
            <w:pPr>
              <w:spacing w:before="20" w:after="20"/>
            </w:pPr>
            <w:r>
              <w:rPr>
                <w:sz w:val="16"/>
              </w:rPr>
              <w:t>1. Matriz ESVAL (fiscal + WES)</w:t>
            </w:r>
          </w:p>
        </w:tc>
        <w:tc>
          <w:tcPr>
            <w:tcW w:type="dxa" w:w="3437"/>
          </w:tcPr>
          <w:p>
            <w:pPr>
              <w:spacing w:before="20" w:after="20"/>
            </w:pPr>
            <w:r>
              <w:rPr>
                <w:sz w:val="16"/>
              </w:rPr>
              <w:t>Foto medidor fiscal 131586; anotar lectura + hora; foto ultrasónico WES; verificar si está en la misma tubería / aguas abajo del fiscal.</w:t>
            </w:r>
          </w:p>
        </w:tc>
        <w:tc>
          <w:tcPr>
            <w:tcW w:type="dxa" w:w="3437"/>
          </w:tcPr>
          <w:p>
            <w:pPr>
              <w:spacing w:before="20" w:after="20"/>
            </w:pPr>
            <w:r>
              <w:rPr>
                <w:sz w:val="16"/>
              </w:rPr>
              <w:t>Fotos + planilla + croquis del arranque</w:t>
            </w:r>
          </w:p>
        </w:tc>
      </w:tr>
      <w:tr>
        <w:trPr>
          <w:cantSplit/>
        </w:trPr>
        <w:tc>
          <w:tcPr>
            <w:tcW w:type="dxa" w:w="3437"/>
            <w:shd w:val="clear" w:fill="F2F6FC"/>
          </w:tcPr>
          <w:p>
            <w:pPr>
              <w:spacing w:before="20" w:after="20"/>
            </w:pPr>
            <w:r>
              <w:rPr>
                <w:sz w:val="16"/>
              </w:rPr>
              <w:t>2. Estanque Inferior</w:t>
            </w:r>
          </w:p>
        </w:tc>
        <w:tc>
          <w:tcPr>
            <w:tcW w:type="dxa" w:w="3437"/>
            <w:shd w:val="clear" w:fill="F2F6FC"/>
          </w:tcPr>
          <w:p>
            <w:pPr>
              <w:spacing w:before="20" w:after="20"/>
            </w:pPr>
            <w:r>
              <w:rPr>
                <w:sz w:val="16"/>
              </w:rPr>
              <w:t>Foto caudalímetro WES; lectura + hora; confirmar que se llena solo desde matriz ESVAL; revisar bomba/arranque mínimo.</w:t>
            </w:r>
          </w:p>
        </w:tc>
        <w:tc>
          <w:tcPr>
            <w:tcW w:type="dxa" w:w="3437"/>
            <w:shd w:val="clear" w:fill="F2F6FC"/>
          </w:tcPr>
          <w:p>
            <w:pPr>
              <w:spacing w:before="20" w:after="20"/>
            </w:pPr>
            <w:r>
              <w:rPr>
                <w:sz w:val="16"/>
              </w:rPr>
              <w:t>Fotos + lectura + esquema</w:t>
            </w:r>
          </w:p>
        </w:tc>
      </w:tr>
      <w:tr>
        <w:trPr>
          <w:cantSplit/>
        </w:trPr>
        <w:tc>
          <w:tcPr>
            <w:tcW w:type="dxa" w:w="3437"/>
          </w:tcPr>
          <w:p>
            <w:pPr>
              <w:spacing w:before="20" w:after="20"/>
            </w:pPr>
            <w:r>
              <w:rPr>
                <w:sz w:val="16"/>
              </w:rPr>
              <w:t>3. Cruce el mismo día</w:t>
            </w:r>
          </w:p>
        </w:tc>
        <w:tc>
          <w:tcPr>
            <w:tcW w:type="dxa" w:w="3437"/>
          </w:tcPr>
          <w:p>
            <w:pPr>
              <w:spacing w:before="20" w:after="20"/>
            </w:pPr>
            <w:r>
              <w:rPr>
                <w:sz w:val="16"/>
              </w:rPr>
              <w:t>Tomar lecturas fiscal, Matriz WES e Inferior en la misma ventana (AM/PM). Comparar deltas de horas y de 24 h.</w:t>
            </w:r>
          </w:p>
        </w:tc>
        <w:tc>
          <w:tcPr>
            <w:tcW w:type="dxa" w:w="3437"/>
          </w:tcPr>
          <w:p>
            <w:pPr>
              <w:spacing w:before="20" w:after="20"/>
            </w:pPr>
            <w:r>
              <w:rPr>
                <w:sz w:val="16"/>
              </w:rPr>
              <w:t>Tabla de 3 lecturas en paralelo</w:t>
            </w:r>
          </w:p>
        </w:tc>
      </w:tr>
      <w:tr>
        <w:trPr>
          <w:cantSplit/>
        </w:trPr>
        <w:tc>
          <w:tcPr>
            <w:tcW w:type="dxa" w:w="3437"/>
            <w:shd w:val="clear" w:fill="F2F6FC"/>
          </w:tcPr>
          <w:p>
            <w:pPr>
              <w:spacing w:before="20" w:after="20"/>
            </w:pPr>
            <w:r>
              <w:rPr>
                <w:sz w:val="16"/>
              </w:rPr>
              <w:t>4. Seguimiento 7 días</w:t>
            </w:r>
          </w:p>
        </w:tc>
        <w:tc>
          <w:tcPr>
            <w:tcW w:type="dxa" w:w="3437"/>
            <w:shd w:val="clear" w:fill="F2F6FC"/>
          </w:tcPr>
          <w:p>
            <w:pPr>
              <w:spacing w:before="20" w:after="20"/>
            </w:pPr>
            <w:r>
              <w:rPr>
                <w:sz w:val="16"/>
              </w:rPr>
              <w:t>Lectura diaria del fiscal + export WES Matriz/Inferior. Ver si el fiscal avanza más que ambos WES.</w:t>
            </w:r>
          </w:p>
        </w:tc>
        <w:tc>
          <w:tcPr>
            <w:tcW w:type="dxa" w:w="3437"/>
            <w:shd w:val="clear" w:fill="F2F6FC"/>
          </w:tcPr>
          <w:p>
            <w:pPr>
              <w:spacing w:before="20" w:after="20"/>
            </w:pPr>
            <w:r>
              <w:rPr>
                <w:sz w:val="16"/>
              </w:rPr>
              <w:t>Excel 7 días + gráfico</w:t>
            </w:r>
          </w:p>
        </w:tc>
      </w:tr>
    </w:tbl>
    <w:p/>
    <w:p>
      <w:pPr>
        <w:pStyle w:val="Heading1"/>
        <w:keepNext/>
        <w:widowControl/>
        <w:spacing w:after="60"/>
      </w:pPr>
      <w:r>
        <w:rPr>
          <w:b/>
          <w:color w:val="003366"/>
        </w:rPr>
        <w:t>8. CHECKLIST EN TERRENO</w:t>
      </w:r>
    </w:p>
    <w:p>
      <w:pPr>
        <w:pStyle w:val="ListBullet"/>
      </w:pPr>
      <w:r>
        <w:t>Foto clara del medidor ESVAL con N° 131586</w:t>
      </w:r>
    </w:p>
    <w:p>
      <w:pPr>
        <w:pStyle w:val="ListBullet"/>
      </w:pPr>
      <w:r>
        <w:t>Lectura fiscal con fecha y hora Chile</w:t>
      </w:r>
    </w:p>
    <w:p>
      <w:pPr>
        <w:pStyle w:val="ListBullet"/>
      </w:pPr>
      <w:r>
        <w:t>Foto ultrasónico Matriz ESVAL + lectura/hora plataforma</w:t>
      </w:r>
    </w:p>
    <w:p>
      <w:pPr>
        <w:pStyle w:val="ListBullet"/>
      </w:pPr>
      <w:r>
        <w:t>Foto ultrasónico Estanque Inferior + lectura/hora</w:t>
      </w:r>
    </w:p>
    <w:p>
      <w:pPr>
        <w:pStyle w:val="ListBullet"/>
      </w:pPr>
      <w:r>
        <w:t>Foto del tramo ESVAL → Inferior (sin bypass visible)</w:t>
      </w:r>
    </w:p>
    <w:p>
      <w:pPr>
        <w:pStyle w:val="ListBullet"/>
      </w:pPr>
      <w:r>
        <w:t>Confirmar con supervisor: ¿hay otro aporte de agua al Inferior?</w:t>
      </w:r>
    </w:p>
    <w:p>
      <w:pPr>
        <w:pStyle w:val="ListBullet"/>
      </w:pPr>
      <w:r>
        <w:t>Estado bomba / arranque mínimo</w:t>
      </w:r>
    </w:p>
    <w:p>
      <w:pPr>
        <w:pStyle w:val="ListBullet"/>
      </w:pPr>
      <w:r>
        <w:t>Constancia de quien acompaña (fundo / LGA)</w:t>
      </w:r>
    </w:p>
    <w:p>
      <w:pPr>
        <w:pStyle w:val="Heading1"/>
        <w:keepNext/>
        <w:widowControl/>
        <w:spacing w:after="60"/>
      </w:pPr>
      <w:r>
        <w:rPr>
          <w:b/>
          <w:color w:val="003366"/>
        </w:rPr>
        <w:t>9. CONCLUSIÓN Y PRÓXIMOS PASOS</w:t>
      </w:r>
    </w:p>
    <w:p>
      <w:pPr>
        <w:pStyle w:val="ListNumber"/>
      </w:pPr>
      <w:r>
        <w:t>Esto pasa: boleta ESVAL no cuadra con Matriz WES en varios ciclos recientes.</w:t>
      </w:r>
    </w:p>
    <w:p>
      <w:pPr>
        <w:pStyle w:val="ListNumber"/>
      </w:pPr>
      <w:r>
        <w:t>Reviso la comparación Matriz WES ↔ Inferior WES: en varios de esos ciclos sí conversan (casi iguales).</w:t>
      </w:r>
    </w:p>
    <w:p>
      <w:pPr>
        <w:pStyle w:val="ListNumber"/>
      </w:pPr>
      <w:r>
        <w:t>Con eso levanto la hipótesis de sobre-registro del medidor fiscal ESVAL.</w:t>
      </w:r>
    </w:p>
    <w:p>
      <w:pPr>
        <w:pStyle w:val="ListNumber"/>
      </w:pPr>
      <w:r>
        <w:t>Siguiente paso: visita a terreno para comprobarlo (fotos, lecturas en paralelo, 7 días de seguimiento).</w:t>
      </w:r>
    </w:p>
    <w:p>
      <w:pPr>
        <w:pStyle w:val="ListNumber"/>
      </w:pPr>
      <w:r>
        <w:t>Luego: PPT corta para reunión con tablero ✓/✗, hipótesis y plan de visitas.</w:t>
      </w:r>
    </w:p>
    <w:p>
      <w:pPr>
        <w:pStyle w:val="Heading1"/>
        <w:keepNext/>
        <w:widowControl/>
        <w:spacing w:after="60"/>
      </w:pPr>
      <w:r>
        <w:rPr>
          <w:b/>
          <w:color w:val="003366"/>
        </w:rPr>
        <w:t>10. ANEXOS</w:t>
      </w:r>
    </w:p>
    <w:p>
      <w:pPr>
        <w:pStyle w:val="ListBullet"/>
      </w:pPr>
      <w:r>
        <w:t>12 boletas ESVAL cliente 631203-9 (ago/2025–ago/2026).</w:t>
      </w:r>
    </w:p>
    <w:p>
      <w:pPr>
        <w:pStyle w:val="ListBullet"/>
      </w:pPr>
      <w:r>
        <w:t>Serie horaria WES 000027-01 y 000027-02, criterio 12:00.</w:t>
      </w:r>
    </w:p>
    <w:p>
      <w:pPr>
        <w:pStyle w:val="ListBullet"/>
      </w:pPr>
      <w:r>
        <w:t>Actas: desconexión/cambio ESVAL (25/02 y 11/03/2026); mantenciones Fundo Zapallar.</w:t>
      </w:r>
    </w:p>
    <w:sectPr w:rsidR="00FC693F" w:rsidRPr="0006063C" w:rsidSect="00034616">
      <w:headerReference w:type="default" r:id="rId9"/>
      <w:pgSz w:w="12240" w:h="15840"/>
      <w:pgMar w:top="794"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