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3A5D"/>
        </w:rPr>
        <w:t>Perfil de consumo · Weir · Almirante Riveros 1050</w:t>
      </w:r>
    </w:p>
    <w:p>
      <w:r>
        <w:rPr>
          <w:i/>
        </w:rPr>
        <w:t>Vulco S.A. · San Bernardo · Aguas Andinas · boleta de septiembre 2026</w:t>
      </w:r>
    </w:p>
    <w:tbl>
      <w:tblPr>
        <w:tblStyle w:val="TableGrid"/>
        <w:tblW w:type="auto" w:w="0"/>
        <w:tblLook w:firstColumn="1" w:firstRow="1" w:lastColumn="0" w:lastRow="0" w:noHBand="0" w:noVBand="1" w:val="04A0"/>
      </w:tblPr>
      <w:tblGrid>
        <w:gridCol w:w="4320"/>
        <w:gridCol w:w="4320"/>
      </w:tblGrid>
      <w:tr>
        <w:tc>
          <w:tcPr>
            <w:tcW w:type="dxa" w:w="4320"/>
          </w:tcPr>
          <w:p>
            <w:r>
              <w:t>Dirección</w:t>
            </w:r>
          </w:p>
        </w:tc>
        <w:tc>
          <w:tcPr>
            <w:tcW w:type="dxa" w:w="4320"/>
          </w:tcPr>
          <w:p>
            <w:r>
              <w:t>Almirante Riveros 1050, San Bernardo</w:t>
            </w:r>
          </w:p>
        </w:tc>
      </w:tr>
      <w:tr>
        <w:tc>
          <w:tcPr>
            <w:tcW w:type="dxa" w:w="4320"/>
          </w:tcPr>
          <w:p>
            <w:r>
              <w:t>Sitio</w:t>
            </w:r>
          </w:p>
        </w:tc>
        <w:tc>
          <w:tcPr>
            <w:tcW w:type="dxa" w:w="4320"/>
          </w:tcPr>
          <w:p>
            <w:r>
              <w:t>Vulco</w:t>
            </w:r>
          </w:p>
        </w:tc>
      </w:tr>
      <w:tr>
        <w:tc>
          <w:tcPr>
            <w:tcW w:type="dxa" w:w="4320"/>
          </w:tcPr>
          <w:p>
            <w:r>
              <w:t>Titular</w:t>
            </w:r>
          </w:p>
        </w:tc>
        <w:tc>
          <w:tcPr>
            <w:tcW w:type="dxa" w:w="4320"/>
          </w:tcPr>
          <w:p>
            <w:r>
              <w:t>Gómez González, Alejandro Javier · RUT No figura en la boleta (boleta, no factura)</w:t>
            </w:r>
          </w:p>
        </w:tc>
      </w:tr>
      <w:tr>
        <w:tc>
          <w:tcPr>
            <w:tcW w:type="dxa" w:w="4320"/>
          </w:tcPr>
          <w:p>
            <w:r>
              <w:t>N° de cuenta</w:t>
            </w:r>
          </w:p>
        </w:tc>
        <w:tc>
          <w:tcPr>
            <w:tcW w:type="dxa" w:w="4320"/>
          </w:tcPr>
          <w:p>
            <w:r>
              <w:t>2713987-6</w:t>
            </w:r>
          </w:p>
        </w:tc>
      </w:tr>
      <w:tr>
        <w:tc>
          <w:tcPr>
            <w:tcW w:type="dxa" w:w="4320"/>
          </w:tcPr>
          <w:p>
            <w:r>
              <w:t>Medidor</w:t>
            </w:r>
          </w:p>
        </w:tc>
        <w:tc>
          <w:tcPr>
            <w:tcW w:type="dxa" w:w="4320"/>
          </w:tcPr>
          <w:p>
            <w:r>
              <w:t>2.128</w:t>
            </w:r>
          </w:p>
        </w:tc>
      </w:tr>
      <w:tr>
        <w:tc>
          <w:tcPr>
            <w:tcW w:type="dxa" w:w="4320"/>
          </w:tcPr>
          <w:p>
            <w:r>
              <w:t>Documento</w:t>
            </w:r>
          </w:p>
        </w:tc>
        <w:tc>
          <w:tcPr>
            <w:tcW w:type="dxa" w:w="4320"/>
          </w:tcPr>
          <w:p>
            <w:r>
              <w:t>Boleta electrónica N° 322122961</w:t>
            </w:r>
          </w:p>
        </w:tc>
      </w:tr>
      <w:tr>
        <w:tc>
          <w:tcPr>
            <w:tcW w:type="dxa" w:w="4320"/>
          </w:tcPr>
          <w:p>
            <w:r>
              <w:t>Período de lectura</w:t>
            </w:r>
          </w:p>
        </w:tc>
        <w:tc>
          <w:tcPr>
            <w:tcW w:type="dxa" w:w="4320"/>
          </w:tcPr>
          <w:p>
            <w:r>
              <w:t>31-07-2026 al 31-08-2026 (sin lecturas de medidor)</w:t>
            </w:r>
          </w:p>
        </w:tc>
      </w:tr>
      <w:tr>
        <w:tc>
          <w:tcPr>
            <w:tcW w:type="dxa" w:w="4320"/>
          </w:tcPr>
          <w:p>
            <w:r>
              <w:t>Consumo facturado</w:t>
            </w:r>
          </w:p>
        </w:tc>
        <w:tc>
          <w:tcPr>
            <w:tcW w:type="dxa" w:w="4320"/>
          </w:tcPr>
          <w:p>
            <w:r>
              <w:t>253 m³</w:t>
            </w:r>
          </w:p>
        </w:tc>
      </w:tr>
      <w:tr>
        <w:tc>
          <w:tcPr>
            <w:tcW w:type="dxa" w:w="4320"/>
          </w:tcPr>
          <w:p>
            <w:r>
              <w:t>Total a pagar</w:t>
            </w:r>
          </w:p>
        </w:tc>
        <w:tc>
          <w:tcPr>
            <w:tcW w:type="dxa" w:w="4320"/>
          </w:tcPr>
          <w:p>
            <w:r>
              <w:t>$ 351.198 · vence 26-09-2026</w:t>
            </w:r>
          </w:p>
        </w:tc>
      </w:tr>
      <w:tr>
        <w:tc>
          <w:tcPr>
            <w:tcW w:type="dxa" w:w="4320"/>
          </w:tcPr>
          <w:p>
            <w:r>
              <w:t>Clave</w:t>
            </w:r>
          </w:p>
        </w:tc>
        <w:tc>
          <w:tcPr>
            <w:tcW w:type="dxa" w:w="4320"/>
          </w:tcPr>
          <w:p>
            <w:r>
              <w:t>Consumo estimado · medidor cerrado</w:t>
            </w:r>
          </w:p>
        </w:tc>
      </w:tr>
      <w:tr>
        <w:tc>
          <w:tcPr>
            <w:tcW w:type="dxa" w:w="4320"/>
          </w:tcPr>
          <w:p>
            <w:r>
              <w:t>Límite de sobreconsumo</w:t>
            </w:r>
          </w:p>
        </w:tc>
        <w:tc>
          <w:tcPr>
            <w:tcW w:type="dxa" w:w="4320"/>
          </w:tcPr>
          <w:p>
            <w:r>
              <w:t>253 m³/mes</w:t>
            </w:r>
          </w:p>
        </w:tc>
      </w:tr>
    </w:tbl>
    <w:p/>
    <w:p>
      <w:r>
        <w:drawing>
          <wp:inline xmlns:a="http://schemas.openxmlformats.org/drawingml/2006/main" xmlns:pic="http://schemas.openxmlformats.org/drawingml/2006/picture">
            <wp:extent cx="5852160" cy="1999005"/>
            <wp:docPr id="1" name="Picture 1"/>
            <wp:cNvGraphicFramePr>
              <a:graphicFrameLocks noChangeAspect="1"/>
            </wp:cNvGraphicFramePr>
            <a:graphic>
              <a:graphicData uri="http://schemas.openxmlformats.org/drawingml/2006/picture">
                <pic:pic>
                  <pic:nvPicPr>
                    <pic:cNvPr id="0" name="weir Almirante Riveros.png"/>
                    <pic:cNvPicPr/>
                  </pic:nvPicPr>
                  <pic:blipFill>
                    <a:blip r:embed="rId9"/>
                    <a:stretch>
                      <a:fillRect/>
                    </a:stretch>
                  </pic:blipFill>
                  <pic:spPr>
                    <a:xfrm>
                      <a:off x="0" y="0"/>
                      <a:ext cx="5852160" cy="1999005"/>
                    </a:xfrm>
                    <a:prstGeom prst="rect"/>
                  </pic:spPr>
                </pic:pic>
              </a:graphicData>
            </a:graphic>
          </wp:inline>
        </w:drawing>
      </w:r>
    </w:p>
    <w:p>
      <w:r>
        <w:t>Últimos 12 meses (oct-25 a sep-26): 3.036 m³ · promedio 253 m³/mes · máximo 253 m³ (Sep-25) · mínimo 253 m³ (Sep-25).</w:t>
      </w:r>
    </w:p>
    <w:p>
      <w:r>
        <w:t>En los cinco meses punta el costo a tarifa normal sería $ 1.748.120 y con sobreconsumo queda en $ 1.748.120. La diferencia es $ 0 (0 m³ sobre el límite de 253 m³, a $1.131,92 más por m³ de agua potable).</w:t>
      </w:r>
    </w:p>
    <w:p>
      <w:pPr>
        <w:pStyle w:val="Heading2"/>
      </w:pPr>
      <w:r>
        <w:t>Costo normal y costo con sobreconsumo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Mes</w:t>
            </w:r>
          </w:p>
        </w:tc>
        <w:tc>
          <w:tcPr>
            <w:tcW w:type="dxa" w:w="1234"/>
          </w:tcPr>
          <w:p>
            <w:r>
              <w:t>Período</w:t>
            </w:r>
          </w:p>
        </w:tc>
        <w:tc>
          <w:tcPr>
            <w:tcW w:type="dxa" w:w="1234"/>
          </w:tcPr>
          <w:p>
            <w:r>
              <w:t>m³</w:t>
            </w:r>
          </w:p>
        </w:tc>
        <w:tc>
          <w:tcPr>
            <w:tcW w:type="dxa" w:w="1234"/>
          </w:tcPr>
          <w:p>
            <w:r>
              <w:t>m³ sobre</w:t>
            </w:r>
          </w:p>
        </w:tc>
        <w:tc>
          <w:tcPr>
            <w:tcW w:type="dxa" w:w="1234"/>
          </w:tcPr>
          <w:p>
            <w:r>
              <w:t>Costo normal</w:t>
            </w:r>
          </w:p>
        </w:tc>
        <w:tc>
          <w:tcPr>
            <w:tcW w:type="dxa" w:w="1234"/>
          </w:tcPr>
          <w:p>
            <w:r>
              <w:t>Con sobreconsumo</w:t>
            </w:r>
          </w:p>
        </w:tc>
        <w:tc>
          <w:tcPr>
            <w:tcW w:type="dxa" w:w="1234"/>
          </w:tcPr>
          <w:p>
            <w:r>
              <w:t>Diferencia</w:t>
            </w:r>
          </w:p>
        </w:tc>
      </w:tr>
      <w:tr>
        <w:tc>
          <w:tcPr>
            <w:tcW w:type="dxa" w:w="1234"/>
          </w:tcPr>
          <w:p>
            <w:r>
              <w:t>Sep-25</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Oct-25</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Nov-25</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Dic-25</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Ene-26</w:t>
            </w:r>
          </w:p>
        </w:tc>
        <w:tc>
          <w:tcPr>
            <w:tcW w:type="dxa" w:w="1234"/>
          </w:tcPr>
          <w:p>
            <w:r>
              <w:t>Punta</w:t>
            </w:r>
          </w:p>
        </w:tc>
        <w:tc>
          <w:tcPr>
            <w:tcW w:type="dxa" w:w="1234"/>
          </w:tcPr>
          <w:p>
            <w:r>
              <w:t>253</w:t>
            </w:r>
          </w:p>
        </w:tc>
        <w:tc>
          <w:tcPr>
            <w:tcW w:type="dxa" w:w="1234"/>
          </w:tcPr>
          <w:p>
            <w:r>
              <w:t>—</w:t>
            </w:r>
          </w:p>
        </w:tc>
        <w:tc>
          <w:tcPr>
            <w:tcW w:type="dxa" w:w="1234"/>
          </w:tcPr>
          <w:p>
            <w:r>
              <w:t>$ 349.624</w:t>
            </w:r>
          </w:p>
        </w:tc>
        <w:tc>
          <w:tcPr>
            <w:tcW w:type="dxa" w:w="1234"/>
          </w:tcPr>
          <w:p>
            <w:r>
              <w:t>$ 349.624</w:t>
            </w:r>
          </w:p>
        </w:tc>
        <w:tc>
          <w:tcPr>
            <w:tcW w:type="dxa" w:w="1234"/>
          </w:tcPr>
          <w:p>
            <w:r>
              <w:t>—</w:t>
            </w:r>
          </w:p>
        </w:tc>
      </w:tr>
      <w:tr>
        <w:tc>
          <w:tcPr>
            <w:tcW w:type="dxa" w:w="1234"/>
          </w:tcPr>
          <w:p>
            <w:r>
              <w:t>Feb-26</w:t>
            </w:r>
          </w:p>
        </w:tc>
        <w:tc>
          <w:tcPr>
            <w:tcW w:type="dxa" w:w="1234"/>
          </w:tcPr>
          <w:p>
            <w:r>
              <w:t>Punta</w:t>
            </w:r>
          </w:p>
        </w:tc>
        <w:tc>
          <w:tcPr>
            <w:tcW w:type="dxa" w:w="1234"/>
          </w:tcPr>
          <w:p>
            <w:r>
              <w:t>253</w:t>
            </w:r>
          </w:p>
        </w:tc>
        <w:tc>
          <w:tcPr>
            <w:tcW w:type="dxa" w:w="1234"/>
          </w:tcPr>
          <w:p>
            <w:r>
              <w:t>—</w:t>
            </w:r>
          </w:p>
        </w:tc>
        <w:tc>
          <w:tcPr>
            <w:tcW w:type="dxa" w:w="1234"/>
          </w:tcPr>
          <w:p>
            <w:r>
              <w:t>$ 349.624</w:t>
            </w:r>
          </w:p>
        </w:tc>
        <w:tc>
          <w:tcPr>
            <w:tcW w:type="dxa" w:w="1234"/>
          </w:tcPr>
          <w:p>
            <w:r>
              <w:t>$ 349.624</w:t>
            </w:r>
          </w:p>
        </w:tc>
        <w:tc>
          <w:tcPr>
            <w:tcW w:type="dxa" w:w="1234"/>
          </w:tcPr>
          <w:p>
            <w:r>
              <w:t>—</w:t>
            </w:r>
          </w:p>
        </w:tc>
      </w:tr>
      <w:tr>
        <w:tc>
          <w:tcPr>
            <w:tcW w:type="dxa" w:w="1234"/>
          </w:tcPr>
          <w:p>
            <w:r>
              <w:t>Mar-26</w:t>
            </w:r>
          </w:p>
        </w:tc>
        <w:tc>
          <w:tcPr>
            <w:tcW w:type="dxa" w:w="1234"/>
          </w:tcPr>
          <w:p>
            <w:r>
              <w:t>Punta</w:t>
            </w:r>
          </w:p>
        </w:tc>
        <w:tc>
          <w:tcPr>
            <w:tcW w:type="dxa" w:w="1234"/>
          </w:tcPr>
          <w:p>
            <w:r>
              <w:t>253</w:t>
            </w:r>
          </w:p>
        </w:tc>
        <w:tc>
          <w:tcPr>
            <w:tcW w:type="dxa" w:w="1234"/>
          </w:tcPr>
          <w:p>
            <w:r>
              <w:t>—</w:t>
            </w:r>
          </w:p>
        </w:tc>
        <w:tc>
          <w:tcPr>
            <w:tcW w:type="dxa" w:w="1234"/>
          </w:tcPr>
          <w:p>
            <w:r>
              <w:t>$ 349.624</w:t>
            </w:r>
          </w:p>
        </w:tc>
        <w:tc>
          <w:tcPr>
            <w:tcW w:type="dxa" w:w="1234"/>
          </w:tcPr>
          <w:p>
            <w:r>
              <w:t>$ 349.624</w:t>
            </w:r>
          </w:p>
        </w:tc>
        <w:tc>
          <w:tcPr>
            <w:tcW w:type="dxa" w:w="1234"/>
          </w:tcPr>
          <w:p>
            <w:r>
              <w:t>—</w:t>
            </w:r>
          </w:p>
        </w:tc>
      </w:tr>
      <w:tr>
        <w:tc>
          <w:tcPr>
            <w:tcW w:type="dxa" w:w="1234"/>
          </w:tcPr>
          <w:p>
            <w:r>
              <w:t>Abr-26</w:t>
            </w:r>
          </w:p>
        </w:tc>
        <w:tc>
          <w:tcPr>
            <w:tcW w:type="dxa" w:w="1234"/>
          </w:tcPr>
          <w:p>
            <w:r>
              <w:t>Punta</w:t>
            </w:r>
          </w:p>
        </w:tc>
        <w:tc>
          <w:tcPr>
            <w:tcW w:type="dxa" w:w="1234"/>
          </w:tcPr>
          <w:p>
            <w:r>
              <w:t>253</w:t>
            </w:r>
          </w:p>
        </w:tc>
        <w:tc>
          <w:tcPr>
            <w:tcW w:type="dxa" w:w="1234"/>
          </w:tcPr>
          <w:p>
            <w:r>
              <w:t>—</w:t>
            </w:r>
          </w:p>
        </w:tc>
        <w:tc>
          <w:tcPr>
            <w:tcW w:type="dxa" w:w="1234"/>
          </w:tcPr>
          <w:p>
            <w:r>
              <w:t>$ 349.624</w:t>
            </w:r>
          </w:p>
        </w:tc>
        <w:tc>
          <w:tcPr>
            <w:tcW w:type="dxa" w:w="1234"/>
          </w:tcPr>
          <w:p>
            <w:r>
              <w:t>$ 349.624</w:t>
            </w:r>
          </w:p>
        </w:tc>
        <w:tc>
          <w:tcPr>
            <w:tcW w:type="dxa" w:w="1234"/>
          </w:tcPr>
          <w:p>
            <w:r>
              <w:t>—</w:t>
            </w:r>
          </w:p>
        </w:tc>
      </w:tr>
      <w:tr>
        <w:tc>
          <w:tcPr>
            <w:tcW w:type="dxa" w:w="1234"/>
          </w:tcPr>
          <w:p>
            <w:r>
              <w:t>May-26</w:t>
            </w:r>
          </w:p>
        </w:tc>
        <w:tc>
          <w:tcPr>
            <w:tcW w:type="dxa" w:w="1234"/>
          </w:tcPr>
          <w:p>
            <w:r>
              <w:t>Punta</w:t>
            </w:r>
          </w:p>
        </w:tc>
        <w:tc>
          <w:tcPr>
            <w:tcW w:type="dxa" w:w="1234"/>
          </w:tcPr>
          <w:p>
            <w:r>
              <w:t>253</w:t>
            </w:r>
          </w:p>
        </w:tc>
        <w:tc>
          <w:tcPr>
            <w:tcW w:type="dxa" w:w="1234"/>
          </w:tcPr>
          <w:p>
            <w:r>
              <w:t>—</w:t>
            </w:r>
          </w:p>
        </w:tc>
        <w:tc>
          <w:tcPr>
            <w:tcW w:type="dxa" w:w="1234"/>
          </w:tcPr>
          <w:p>
            <w:r>
              <w:t>$ 349.624</w:t>
            </w:r>
          </w:p>
        </w:tc>
        <w:tc>
          <w:tcPr>
            <w:tcW w:type="dxa" w:w="1234"/>
          </w:tcPr>
          <w:p>
            <w:r>
              <w:t>$ 349.624</w:t>
            </w:r>
          </w:p>
        </w:tc>
        <w:tc>
          <w:tcPr>
            <w:tcW w:type="dxa" w:w="1234"/>
          </w:tcPr>
          <w:p>
            <w:r>
              <w:t>—</w:t>
            </w:r>
          </w:p>
        </w:tc>
      </w:tr>
      <w:tr>
        <w:tc>
          <w:tcPr>
            <w:tcW w:type="dxa" w:w="1234"/>
          </w:tcPr>
          <w:p>
            <w:r>
              <w:t>Jun-26</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Jul-26</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Ago-26</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Sep-26</w:t>
            </w:r>
          </w:p>
        </w:tc>
        <w:tc>
          <w:tcPr>
            <w:tcW w:type="dxa" w:w="1234"/>
          </w:tcPr>
          <w:p>
            <w:r>
              <w:t>No punta</w:t>
            </w:r>
          </w:p>
        </w:tc>
        <w:tc>
          <w:tcPr>
            <w:tcW w:type="dxa" w:w="1234"/>
          </w:tcPr>
          <w:p>
            <w:r>
              <w:t>253</w:t>
            </w:r>
          </w:p>
        </w:tc>
        <w:tc>
          <w:tcPr>
            <w:tcW w:type="dxa" w:w="1234"/>
          </w:tcPr>
          <w:p>
            <w:r>
              <w:t>—</w:t>
            </w:r>
          </w:p>
        </w:tc>
        <w:tc>
          <w:tcPr>
            <w:tcW w:type="dxa" w:w="1234"/>
          </w:tcPr>
          <w:p>
            <w:r>
              <w:t>$ 351.200</w:t>
            </w:r>
          </w:p>
        </w:tc>
        <w:tc>
          <w:tcPr>
            <w:tcW w:type="dxa" w:w="1234"/>
          </w:tcPr>
          <w:p>
            <w:r>
              <w:t>$ 351.200</w:t>
            </w:r>
          </w:p>
        </w:tc>
        <w:tc>
          <w:tcPr>
            <w:tcW w:type="dxa" w:w="1234"/>
          </w:tcPr>
          <w:p>
            <w:r>
              <w:t>—</w:t>
            </w:r>
          </w:p>
        </w:tc>
      </w:tr>
      <w:tr>
        <w:tc>
          <w:tcPr>
            <w:tcW w:type="dxa" w:w="1234"/>
          </w:tcPr>
          <w:p>
            <w:r>
              <w:t>Total</w:t>
            </w:r>
          </w:p>
        </w:tc>
        <w:tc>
          <w:tcPr>
            <w:tcW w:type="dxa" w:w="1234"/>
          </w:tcPr>
          <w:p/>
        </w:tc>
        <w:tc>
          <w:tcPr>
            <w:tcW w:type="dxa" w:w="1234"/>
          </w:tcPr>
          <w:p/>
        </w:tc>
        <w:tc>
          <w:tcPr>
            <w:tcW w:type="dxa" w:w="1234"/>
          </w:tcPr>
          <w:p>
            <w:r>
              <w:t>0</w:t>
            </w:r>
          </w:p>
        </w:tc>
        <w:tc>
          <w:tcPr>
            <w:tcW w:type="dxa" w:w="1234"/>
          </w:tcPr>
          <w:p>
            <w:r>
              <w:t>$ 4.557.720</w:t>
            </w:r>
          </w:p>
        </w:tc>
        <w:tc>
          <w:tcPr>
            <w:tcW w:type="dxa" w:w="1234"/>
          </w:tcPr>
          <w:p>
            <w:r>
              <w:t>$ 4.557.720</w:t>
            </w:r>
          </w:p>
        </w:tc>
        <w:tc>
          <w:tcPr>
            <w:tcW w:type="dxa" w:w="1234"/>
          </w:tcPr>
          <w:p>
            <w:r>
              <w:t>$ 0</w:t>
            </w:r>
          </w:p>
        </w:tc>
      </w:tr>
    </w:tbl>
    <w:p>
      <w:pPr>
        <w:pStyle w:val="Heading2"/>
      </w:pPr>
      <w:r>
        <w:t>Cómo se lee</w:t>
      </w:r>
    </w:p>
    <w:p>
      <w:r>
        <w:t>La serie del gráfico es plana: los 13 meses quedan en 253 m³. No es un consumo medido. Aguas Andinas facturó por estimación porque la clave de lectura es CERRADO. Hasta que haya una lectura real, este perfil no sirve para comparar meses ni para dimensionar un medidor WES contra la facturación.</w:t>
      </w:r>
    </w:p>
    <w:p>
      <w:r>
        <w:t>La boleta no trae lectura actual ni anterior. Informa consumo promedio descontable de 253 m³ y 12.144 m³ por abonar en la próxima facturación. Despacho: weirbills01@weir.urjanet.com.</w:t>
      </w:r>
    </w:p>
    <w:p>
      <w:r>
        <w:rPr>
          <w:i/>
          <w:sz w:val="18"/>
        </w:rPr>
        <w:t>Los meses previos a septiembre 2026 se midieron en el gráfico de la boleta. El rojo de la barra es el sobreconsumo del período punta. La diferencia en pesos es solo el recargo de agua potable de ese exceso, $1.131,92 por m³, valorizado a la tarifa del 11-05-2026.</w:t>
      </w:r>
    </w:p>
    <w:p>
      <w:r>
        <w:rPr>
          <w:color w:val="0E3A5D"/>
          <w:sz w:val="18"/>
        </w:rPr>
        <w:t>WES · Perfil de consumo Weir Minerals · San Bernardo · octubre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