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3A5D"/>
        </w:rPr>
        <w:t>Perfil de consumo · Weir · San José 0815</w:t>
      </w:r>
    </w:p>
    <w:p>
      <w:r>
        <w:rPr>
          <w:i/>
        </w:rPr>
        <w:t>Vulco S.A. · San Bernardo · Aguas Andinas · boleta de septiembre 2026</w:t>
      </w:r>
    </w:p>
    <w:tbl>
      <w:tblPr>
        <w:tblStyle w:val="TableGrid"/>
        <w:tblW w:type="auto" w:w="0"/>
        <w:tblLook w:firstColumn="1" w:firstRow="1" w:lastColumn="0" w:lastRow="0" w:noHBand="0" w:noVBand="1" w:val="04A0"/>
      </w:tblPr>
      <w:tblGrid>
        <w:gridCol w:w="4320"/>
        <w:gridCol w:w="4320"/>
      </w:tblGrid>
      <w:tr>
        <w:tc>
          <w:tcPr>
            <w:tcW w:type="dxa" w:w="4320"/>
          </w:tcPr>
          <w:p>
            <w:r>
              <w:t>Dirección</w:t>
            </w:r>
          </w:p>
        </w:tc>
        <w:tc>
          <w:tcPr>
            <w:tcW w:type="dxa" w:w="4320"/>
          </w:tcPr>
          <w:p>
            <w:r>
              <w:t>San José 0815, San Bernardo</w:t>
            </w:r>
          </w:p>
        </w:tc>
      </w:tr>
      <w:tr>
        <w:tc>
          <w:tcPr>
            <w:tcW w:type="dxa" w:w="4320"/>
          </w:tcPr>
          <w:p>
            <w:r>
              <w:t>Sitio</w:t>
            </w:r>
          </w:p>
        </w:tc>
        <w:tc>
          <w:tcPr>
            <w:tcW w:type="dxa" w:w="4320"/>
          </w:tcPr>
          <w:p>
            <w:r>
              <w:t>Medidor fundición</w:t>
            </w:r>
          </w:p>
        </w:tc>
      </w:tr>
      <w:tr>
        <w:tc>
          <w:tcPr>
            <w:tcW w:type="dxa" w:w="4320"/>
          </w:tcPr>
          <w:p>
            <w:r>
              <w:t>Titular</w:t>
            </w:r>
          </w:p>
        </w:tc>
        <w:tc>
          <w:tcPr>
            <w:tcW w:type="dxa" w:w="4320"/>
          </w:tcPr>
          <w:p>
            <w:r>
              <w:t>Vulco S.A. · RUT 91.619.000-K</w:t>
            </w:r>
          </w:p>
        </w:tc>
      </w:tr>
      <w:tr>
        <w:tc>
          <w:tcPr>
            <w:tcW w:type="dxa" w:w="4320"/>
          </w:tcPr>
          <w:p>
            <w:r>
              <w:t>N° de cuenta</w:t>
            </w:r>
          </w:p>
        </w:tc>
        <w:tc>
          <w:tcPr>
            <w:tcW w:type="dxa" w:w="4320"/>
          </w:tcPr>
          <w:p>
            <w:r>
              <w:t>296816-9</w:t>
            </w:r>
          </w:p>
        </w:tc>
      </w:tr>
      <w:tr>
        <w:tc>
          <w:tcPr>
            <w:tcW w:type="dxa" w:w="4320"/>
          </w:tcPr>
          <w:p>
            <w:r>
              <w:t>Medidor</w:t>
            </w:r>
          </w:p>
        </w:tc>
        <w:tc>
          <w:tcPr>
            <w:tcW w:type="dxa" w:w="4320"/>
          </w:tcPr>
          <w:p>
            <w:r>
              <w:t>131163780</w:t>
            </w:r>
          </w:p>
        </w:tc>
      </w:tr>
      <w:tr>
        <w:tc>
          <w:tcPr>
            <w:tcW w:type="dxa" w:w="4320"/>
          </w:tcPr>
          <w:p>
            <w:r>
              <w:t>Documento</w:t>
            </w:r>
          </w:p>
        </w:tc>
        <w:tc>
          <w:tcPr>
            <w:tcW w:type="dxa" w:w="4320"/>
          </w:tcPr>
          <w:p>
            <w:r>
              <w:t>Factura electrónica N° 9455955</w:t>
            </w:r>
          </w:p>
        </w:tc>
      </w:tr>
      <w:tr>
        <w:tc>
          <w:tcPr>
            <w:tcW w:type="dxa" w:w="4320"/>
          </w:tcPr>
          <w:p>
            <w:r>
              <w:t>Período de lectura</w:t>
            </w:r>
          </w:p>
        </w:tc>
        <w:tc>
          <w:tcPr>
            <w:tcW w:type="dxa" w:w="4320"/>
          </w:tcPr>
          <w:p>
            <w:r>
              <w:t>30-05-2026 al 02-09-2026 (95 días)</w:t>
            </w:r>
          </w:p>
        </w:tc>
      </w:tr>
      <w:tr>
        <w:tc>
          <w:tcPr>
            <w:tcW w:type="dxa" w:w="4320"/>
          </w:tcPr>
          <w:p>
            <w:r>
              <w:t>Consumo facturado</w:t>
            </w:r>
          </w:p>
        </w:tc>
        <w:tc>
          <w:tcPr>
            <w:tcW w:type="dxa" w:w="4320"/>
          </w:tcPr>
          <w:p>
            <w:r>
              <w:t>3.646 m³</w:t>
            </w:r>
          </w:p>
        </w:tc>
      </w:tr>
      <w:tr>
        <w:tc>
          <w:tcPr>
            <w:tcW w:type="dxa" w:w="4320"/>
          </w:tcPr>
          <w:p>
            <w:r>
              <w:t>Total a pagar</w:t>
            </w:r>
          </w:p>
        </w:tc>
        <w:tc>
          <w:tcPr>
            <w:tcW w:type="dxa" w:w="4320"/>
          </w:tcPr>
          <w:p>
            <w:r>
              <w:t>$ 4.690.886 · vence 26-09-2026</w:t>
            </w:r>
          </w:p>
        </w:tc>
      </w:tr>
      <w:tr>
        <w:tc>
          <w:tcPr>
            <w:tcW w:type="dxa" w:w="4320"/>
          </w:tcPr>
          <w:p>
            <w:r>
              <w:t>Clave</w:t>
            </w:r>
          </w:p>
        </w:tc>
        <w:tc>
          <w:tcPr>
            <w:tcW w:type="dxa" w:w="4320"/>
          </w:tcPr>
          <w:p>
            <w:r>
              <w:t>Consumo real · lectura normal</w:t>
            </w:r>
          </w:p>
        </w:tc>
      </w:tr>
      <w:tr>
        <w:tc>
          <w:tcPr>
            <w:tcW w:type="dxa" w:w="4320"/>
          </w:tcPr>
          <w:p>
            <w:r>
              <w:t>Límite de sobreconsumo</w:t>
            </w:r>
          </w:p>
        </w:tc>
        <w:tc>
          <w:tcPr>
            <w:tcW w:type="dxa" w:w="4320"/>
          </w:tcPr>
          <w:p>
            <w:r>
              <w:t>622 m³/mes</w:t>
            </w:r>
          </w:p>
        </w:tc>
      </w:tr>
    </w:tbl>
    <w:p/>
    <w:p>
      <w:r>
        <w:drawing>
          <wp:inline xmlns:a="http://schemas.openxmlformats.org/drawingml/2006/main" xmlns:pic="http://schemas.openxmlformats.org/drawingml/2006/picture">
            <wp:extent cx="5852160" cy="1999005"/>
            <wp:docPr id="1" name="Picture 1"/>
            <wp:cNvGraphicFramePr>
              <a:graphicFrameLocks noChangeAspect="1"/>
            </wp:cNvGraphicFramePr>
            <a:graphic>
              <a:graphicData uri="http://schemas.openxmlformats.org/drawingml/2006/picture">
                <pic:pic>
                  <pic:nvPicPr>
                    <pic:cNvPr id="0" name="weir San José 0815.png"/>
                    <pic:cNvPicPr/>
                  </pic:nvPicPr>
                  <pic:blipFill>
                    <a:blip r:embed="rId9"/>
                    <a:stretch>
                      <a:fillRect/>
                    </a:stretch>
                  </pic:blipFill>
                  <pic:spPr>
                    <a:xfrm>
                      <a:off x="0" y="0"/>
                      <a:ext cx="5852160" cy="1999005"/>
                    </a:xfrm>
                    <a:prstGeom prst="rect"/>
                  </pic:spPr>
                </pic:pic>
              </a:graphicData>
            </a:graphic>
          </wp:inline>
        </w:drawing>
      </w:r>
    </w:p>
    <w:p>
      <w:r>
        <w:t>Últimos 12 meses (oct-25 a sep-26): 17.086 m³ · promedio 1.424 m³/mes · máximo 3.646 m³ (Sep-26) · mínimo 200 m³ (Sep-25).</w:t>
      </w:r>
    </w:p>
    <w:p>
      <w:r>
        <w:t>En los cinco meses punta el costo a tarifa normal sería $ 10.547.797 y con sobreconsumo queda en $ 15.686.715. La diferencia es $ 5.138.918 (4.540 m³ sobre el límite de 622 m³, a $1.131,92 más por m³ de agua potable).</w:t>
      </w:r>
    </w:p>
    <w:p>
      <w:pPr>
        <w:pStyle w:val="Heading2"/>
      </w:pPr>
      <w:r>
        <w:t>Costo normal y costo con sobreconsumo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Mes</w:t>
            </w:r>
          </w:p>
        </w:tc>
        <w:tc>
          <w:tcPr>
            <w:tcW w:type="dxa" w:w="1234"/>
          </w:tcPr>
          <w:p>
            <w:r>
              <w:t>Período</w:t>
            </w:r>
          </w:p>
        </w:tc>
        <w:tc>
          <w:tcPr>
            <w:tcW w:type="dxa" w:w="1234"/>
          </w:tcPr>
          <w:p>
            <w:r>
              <w:t>m³</w:t>
            </w:r>
          </w:p>
        </w:tc>
        <w:tc>
          <w:tcPr>
            <w:tcW w:type="dxa" w:w="1234"/>
          </w:tcPr>
          <w:p>
            <w:r>
              <w:t>m³ sobre</w:t>
            </w:r>
          </w:p>
        </w:tc>
        <w:tc>
          <w:tcPr>
            <w:tcW w:type="dxa" w:w="1234"/>
          </w:tcPr>
          <w:p>
            <w:r>
              <w:t>Costo normal</w:t>
            </w:r>
          </w:p>
        </w:tc>
        <w:tc>
          <w:tcPr>
            <w:tcW w:type="dxa" w:w="1234"/>
          </w:tcPr>
          <w:p>
            <w:r>
              <w:t>Con sobreconsumo</w:t>
            </w:r>
          </w:p>
        </w:tc>
        <w:tc>
          <w:tcPr>
            <w:tcW w:type="dxa" w:w="1234"/>
          </w:tcPr>
          <w:p>
            <w:r>
              <w:t>Diferencia</w:t>
            </w:r>
          </w:p>
        </w:tc>
      </w:tr>
      <w:tr>
        <w:tc>
          <w:tcPr>
            <w:tcW w:type="dxa" w:w="1234"/>
          </w:tcPr>
          <w:p>
            <w:r>
              <w:t>Sep-25</w:t>
            </w:r>
          </w:p>
        </w:tc>
        <w:tc>
          <w:tcPr>
            <w:tcW w:type="dxa" w:w="1234"/>
          </w:tcPr>
          <w:p>
            <w:r>
              <w:t>No punta</w:t>
            </w:r>
          </w:p>
        </w:tc>
        <w:tc>
          <w:tcPr>
            <w:tcW w:type="dxa" w:w="1234"/>
          </w:tcPr>
          <w:p>
            <w:r>
              <w:t>200</w:t>
            </w:r>
          </w:p>
        </w:tc>
        <w:tc>
          <w:tcPr>
            <w:tcW w:type="dxa" w:w="1234"/>
          </w:tcPr>
          <w:p>
            <w:r>
              <w:t>—</w:t>
            </w:r>
          </w:p>
        </w:tc>
        <w:tc>
          <w:tcPr>
            <w:tcW w:type="dxa" w:w="1234"/>
          </w:tcPr>
          <w:p>
            <w:r>
              <w:t>$ 277.826</w:t>
            </w:r>
          </w:p>
        </w:tc>
        <w:tc>
          <w:tcPr>
            <w:tcW w:type="dxa" w:w="1234"/>
          </w:tcPr>
          <w:p>
            <w:r>
              <w:t>$ 277.826</w:t>
            </w:r>
          </w:p>
        </w:tc>
        <w:tc>
          <w:tcPr>
            <w:tcW w:type="dxa" w:w="1234"/>
          </w:tcPr>
          <w:p>
            <w:r>
              <w:t>—</w:t>
            </w:r>
          </w:p>
        </w:tc>
      </w:tr>
      <w:tr>
        <w:tc>
          <w:tcPr>
            <w:tcW w:type="dxa" w:w="1234"/>
          </w:tcPr>
          <w:p>
            <w:r>
              <w:t>Oct-25</w:t>
            </w:r>
          </w:p>
        </w:tc>
        <w:tc>
          <w:tcPr>
            <w:tcW w:type="dxa" w:w="1234"/>
          </w:tcPr>
          <w:p>
            <w:r>
              <w:t>No punta</w:t>
            </w:r>
          </w:p>
        </w:tc>
        <w:tc>
          <w:tcPr>
            <w:tcW w:type="dxa" w:w="1234"/>
          </w:tcPr>
          <w:p>
            <w:r>
              <w:t>710</w:t>
            </w:r>
          </w:p>
        </w:tc>
        <w:tc>
          <w:tcPr>
            <w:tcW w:type="dxa" w:w="1234"/>
          </w:tcPr>
          <w:p>
            <w:r>
              <w:t>—</w:t>
            </w:r>
          </w:p>
        </w:tc>
        <w:tc>
          <w:tcPr>
            <w:tcW w:type="dxa" w:w="1234"/>
          </w:tcPr>
          <w:p>
            <w:r>
              <w:t>$ 983.875</w:t>
            </w:r>
          </w:p>
        </w:tc>
        <w:tc>
          <w:tcPr>
            <w:tcW w:type="dxa" w:w="1234"/>
          </w:tcPr>
          <w:p>
            <w:r>
              <w:t>$ 983.875</w:t>
            </w:r>
          </w:p>
        </w:tc>
        <w:tc>
          <w:tcPr>
            <w:tcW w:type="dxa" w:w="1234"/>
          </w:tcPr>
          <w:p>
            <w:r>
              <w:t>—</w:t>
            </w:r>
          </w:p>
        </w:tc>
      </w:tr>
      <w:tr>
        <w:tc>
          <w:tcPr>
            <w:tcW w:type="dxa" w:w="1234"/>
          </w:tcPr>
          <w:p>
            <w:r>
              <w:t>Nov-25</w:t>
            </w:r>
          </w:p>
        </w:tc>
        <w:tc>
          <w:tcPr>
            <w:tcW w:type="dxa" w:w="1234"/>
          </w:tcPr>
          <w:p>
            <w:r>
              <w:t>No punta</w:t>
            </w:r>
          </w:p>
        </w:tc>
        <w:tc>
          <w:tcPr>
            <w:tcW w:type="dxa" w:w="1234"/>
          </w:tcPr>
          <w:p>
            <w:r>
              <w:t>810</w:t>
            </w:r>
          </w:p>
        </w:tc>
        <w:tc>
          <w:tcPr>
            <w:tcW w:type="dxa" w:w="1234"/>
          </w:tcPr>
          <w:p>
            <w:r>
              <w:t>—</w:t>
            </w:r>
          </w:p>
        </w:tc>
        <w:tc>
          <w:tcPr>
            <w:tcW w:type="dxa" w:w="1234"/>
          </w:tcPr>
          <w:p>
            <w:r>
              <w:t>$ 1.122.316</w:t>
            </w:r>
          </w:p>
        </w:tc>
        <w:tc>
          <w:tcPr>
            <w:tcW w:type="dxa" w:w="1234"/>
          </w:tcPr>
          <w:p>
            <w:r>
              <w:t>$ 1.122.316</w:t>
            </w:r>
          </w:p>
        </w:tc>
        <w:tc>
          <w:tcPr>
            <w:tcW w:type="dxa" w:w="1234"/>
          </w:tcPr>
          <w:p>
            <w:r>
              <w:t>—</w:t>
            </w:r>
          </w:p>
        </w:tc>
      </w:tr>
      <w:tr>
        <w:tc>
          <w:tcPr>
            <w:tcW w:type="dxa" w:w="1234"/>
          </w:tcPr>
          <w:p>
            <w:r>
              <w:t>Dic-25</w:t>
            </w:r>
          </w:p>
        </w:tc>
        <w:tc>
          <w:tcPr>
            <w:tcW w:type="dxa" w:w="1234"/>
          </w:tcPr>
          <w:p>
            <w:r>
              <w:t>No punta</w:t>
            </w:r>
          </w:p>
        </w:tc>
        <w:tc>
          <w:tcPr>
            <w:tcW w:type="dxa" w:w="1234"/>
          </w:tcPr>
          <w:p>
            <w:r>
              <w:t>770</w:t>
            </w:r>
          </w:p>
        </w:tc>
        <w:tc>
          <w:tcPr>
            <w:tcW w:type="dxa" w:w="1234"/>
          </w:tcPr>
          <w:p>
            <w:r>
              <w:t>—</w:t>
            </w:r>
          </w:p>
        </w:tc>
        <w:tc>
          <w:tcPr>
            <w:tcW w:type="dxa" w:w="1234"/>
          </w:tcPr>
          <w:p>
            <w:r>
              <w:t>$ 1.066.940</w:t>
            </w:r>
          </w:p>
        </w:tc>
        <w:tc>
          <w:tcPr>
            <w:tcW w:type="dxa" w:w="1234"/>
          </w:tcPr>
          <w:p>
            <w:r>
              <w:t>$ 1.066.940</w:t>
            </w:r>
          </w:p>
        </w:tc>
        <w:tc>
          <w:tcPr>
            <w:tcW w:type="dxa" w:w="1234"/>
          </w:tcPr>
          <w:p>
            <w:r>
              <w:t>—</w:t>
            </w:r>
          </w:p>
        </w:tc>
      </w:tr>
      <w:tr>
        <w:tc>
          <w:tcPr>
            <w:tcW w:type="dxa" w:w="1234"/>
          </w:tcPr>
          <w:p>
            <w:r>
              <w:t>Ene-26</w:t>
            </w:r>
          </w:p>
        </w:tc>
        <w:tc>
          <w:tcPr>
            <w:tcW w:type="dxa" w:w="1234"/>
          </w:tcPr>
          <w:p>
            <w:r>
              <w:t>Punta</w:t>
            </w:r>
          </w:p>
        </w:tc>
        <w:tc>
          <w:tcPr>
            <w:tcW w:type="dxa" w:w="1234"/>
          </w:tcPr>
          <w:p>
            <w:r>
              <w:t>1.320</w:t>
            </w:r>
          </w:p>
        </w:tc>
        <w:tc>
          <w:tcPr>
            <w:tcW w:type="dxa" w:w="1234"/>
          </w:tcPr>
          <w:p>
            <w:r>
              <w:t>698</w:t>
            </w:r>
          </w:p>
        </w:tc>
        <w:tc>
          <w:tcPr>
            <w:tcW w:type="dxa" w:w="1234"/>
          </w:tcPr>
          <w:p>
            <w:r>
              <w:t>$ 1.820.142</w:t>
            </w:r>
          </w:p>
        </w:tc>
        <w:tc>
          <w:tcPr>
            <w:tcW w:type="dxa" w:w="1234"/>
          </w:tcPr>
          <w:p>
            <w:r>
              <w:t>$ 2.610.222</w:t>
            </w:r>
          </w:p>
        </w:tc>
        <w:tc>
          <w:tcPr>
            <w:tcW w:type="dxa" w:w="1234"/>
          </w:tcPr>
          <w:p>
            <w:r>
              <w:t>$ 790.080</w:t>
            </w:r>
          </w:p>
        </w:tc>
      </w:tr>
      <w:tr>
        <w:tc>
          <w:tcPr>
            <w:tcW w:type="dxa" w:w="1234"/>
          </w:tcPr>
          <w:p>
            <w:r>
              <w:t>Feb-26</w:t>
            </w:r>
          </w:p>
        </w:tc>
        <w:tc>
          <w:tcPr>
            <w:tcW w:type="dxa" w:w="1234"/>
          </w:tcPr>
          <w:p>
            <w:r>
              <w:t>Punta</w:t>
            </w:r>
          </w:p>
        </w:tc>
        <w:tc>
          <w:tcPr>
            <w:tcW w:type="dxa" w:w="1234"/>
          </w:tcPr>
          <w:p>
            <w:r>
              <w:t>950</w:t>
            </w:r>
          </w:p>
        </w:tc>
        <w:tc>
          <w:tcPr>
            <w:tcW w:type="dxa" w:w="1234"/>
          </w:tcPr>
          <w:p>
            <w:r>
              <w:t>328</w:t>
            </w:r>
          </w:p>
        </w:tc>
        <w:tc>
          <w:tcPr>
            <w:tcW w:type="dxa" w:w="1234"/>
          </w:tcPr>
          <w:p>
            <w:r>
              <w:t>$ 1.310.215</w:t>
            </w:r>
          </w:p>
        </w:tc>
        <w:tc>
          <w:tcPr>
            <w:tcW w:type="dxa" w:w="1234"/>
          </w:tcPr>
          <w:p>
            <w:r>
              <w:t>$ 1.681.485</w:t>
            </w:r>
          </w:p>
        </w:tc>
        <w:tc>
          <w:tcPr>
            <w:tcW w:type="dxa" w:w="1234"/>
          </w:tcPr>
          <w:p>
            <w:r>
              <w:t>$ 371.270</w:t>
            </w:r>
          </w:p>
        </w:tc>
      </w:tr>
      <w:tr>
        <w:tc>
          <w:tcPr>
            <w:tcW w:type="dxa" w:w="1234"/>
          </w:tcPr>
          <w:p>
            <w:r>
              <w:t>Mar-26</w:t>
            </w:r>
          </w:p>
        </w:tc>
        <w:tc>
          <w:tcPr>
            <w:tcW w:type="dxa" w:w="1234"/>
          </w:tcPr>
          <w:p>
            <w:r>
              <w:t>Punta</w:t>
            </w:r>
          </w:p>
        </w:tc>
        <w:tc>
          <w:tcPr>
            <w:tcW w:type="dxa" w:w="1234"/>
          </w:tcPr>
          <w:p>
            <w:r>
              <w:t>1.010</w:t>
            </w:r>
          </w:p>
        </w:tc>
        <w:tc>
          <w:tcPr>
            <w:tcW w:type="dxa" w:w="1234"/>
          </w:tcPr>
          <w:p>
            <w:r>
              <w:t>388</w:t>
            </w:r>
          </w:p>
        </w:tc>
        <w:tc>
          <w:tcPr>
            <w:tcW w:type="dxa" w:w="1234"/>
          </w:tcPr>
          <w:p>
            <w:r>
              <w:t>$ 1.392.906</w:t>
            </w:r>
          </w:p>
        </w:tc>
        <w:tc>
          <w:tcPr>
            <w:tcW w:type="dxa" w:w="1234"/>
          </w:tcPr>
          <w:p>
            <w:r>
              <w:t>$ 1.832.091</w:t>
            </w:r>
          </w:p>
        </w:tc>
        <w:tc>
          <w:tcPr>
            <w:tcW w:type="dxa" w:w="1234"/>
          </w:tcPr>
          <w:p>
            <w:r>
              <w:t>$ 439.185</w:t>
            </w:r>
          </w:p>
        </w:tc>
      </w:tr>
      <w:tr>
        <w:tc>
          <w:tcPr>
            <w:tcW w:type="dxa" w:w="1234"/>
          </w:tcPr>
          <w:p>
            <w:r>
              <w:t>Abr-26</w:t>
            </w:r>
          </w:p>
        </w:tc>
        <w:tc>
          <w:tcPr>
            <w:tcW w:type="dxa" w:w="1234"/>
          </w:tcPr>
          <w:p>
            <w:r>
              <w:t>Punta</w:t>
            </w:r>
          </w:p>
        </w:tc>
        <w:tc>
          <w:tcPr>
            <w:tcW w:type="dxa" w:w="1234"/>
          </w:tcPr>
          <w:p>
            <w:r>
              <w:t>1.280</w:t>
            </w:r>
          </w:p>
        </w:tc>
        <w:tc>
          <w:tcPr>
            <w:tcW w:type="dxa" w:w="1234"/>
          </w:tcPr>
          <w:p>
            <w:r>
              <w:t>658</w:t>
            </w:r>
          </w:p>
        </w:tc>
        <w:tc>
          <w:tcPr>
            <w:tcW w:type="dxa" w:w="1234"/>
          </w:tcPr>
          <w:p>
            <w:r>
              <w:t>$ 1.765.014</w:t>
            </w:r>
          </w:p>
        </w:tc>
        <w:tc>
          <w:tcPr>
            <w:tcW w:type="dxa" w:w="1234"/>
          </w:tcPr>
          <w:p>
            <w:r>
              <w:t>$ 2.509.818</w:t>
            </w:r>
          </w:p>
        </w:tc>
        <w:tc>
          <w:tcPr>
            <w:tcW w:type="dxa" w:w="1234"/>
          </w:tcPr>
          <w:p>
            <w:r>
              <w:t>$ 744.804</w:t>
            </w:r>
          </w:p>
        </w:tc>
      </w:tr>
      <w:tr>
        <w:tc>
          <w:tcPr>
            <w:tcW w:type="dxa" w:w="1234"/>
          </w:tcPr>
          <w:p>
            <w:r>
              <w:t>May-26</w:t>
            </w:r>
          </w:p>
        </w:tc>
        <w:tc>
          <w:tcPr>
            <w:tcW w:type="dxa" w:w="1234"/>
          </w:tcPr>
          <w:p>
            <w:r>
              <w:t>Punta</w:t>
            </w:r>
          </w:p>
        </w:tc>
        <w:tc>
          <w:tcPr>
            <w:tcW w:type="dxa" w:w="1234"/>
          </w:tcPr>
          <w:p>
            <w:r>
              <w:t>3.090</w:t>
            </w:r>
          </w:p>
        </w:tc>
        <w:tc>
          <w:tcPr>
            <w:tcW w:type="dxa" w:w="1234"/>
          </w:tcPr>
          <w:p>
            <w:r>
              <w:t>2.468</w:t>
            </w:r>
          </w:p>
        </w:tc>
        <w:tc>
          <w:tcPr>
            <w:tcW w:type="dxa" w:w="1234"/>
          </w:tcPr>
          <w:p>
            <w:r>
              <w:t>$ 4.259.520</w:t>
            </w:r>
          </w:p>
        </w:tc>
        <w:tc>
          <w:tcPr>
            <w:tcW w:type="dxa" w:w="1234"/>
          </w:tcPr>
          <w:p>
            <w:r>
              <w:t>$ 7.053.099</w:t>
            </w:r>
          </w:p>
        </w:tc>
        <w:tc>
          <w:tcPr>
            <w:tcW w:type="dxa" w:w="1234"/>
          </w:tcPr>
          <w:p>
            <w:r>
              <w:t>$ 2.793.579</w:t>
            </w:r>
          </w:p>
        </w:tc>
      </w:tr>
      <w:tr>
        <w:tc>
          <w:tcPr>
            <w:tcW w:type="dxa" w:w="1234"/>
          </w:tcPr>
          <w:p>
            <w:r>
              <w:t>Jun-26</w:t>
            </w:r>
          </w:p>
        </w:tc>
        <w:tc>
          <w:tcPr>
            <w:tcW w:type="dxa" w:w="1234"/>
          </w:tcPr>
          <w:p>
            <w:r>
              <w:t>No punta</w:t>
            </w:r>
          </w:p>
        </w:tc>
        <w:tc>
          <w:tcPr>
            <w:tcW w:type="dxa" w:w="1234"/>
          </w:tcPr>
          <w:p>
            <w:r>
              <w:t>2.330</w:t>
            </w:r>
          </w:p>
        </w:tc>
        <w:tc>
          <w:tcPr>
            <w:tcW w:type="dxa" w:w="1234"/>
          </w:tcPr>
          <w:p>
            <w:r>
              <w:t>—</w:t>
            </w:r>
          </w:p>
        </w:tc>
        <w:tc>
          <w:tcPr>
            <w:tcW w:type="dxa" w:w="1234"/>
          </w:tcPr>
          <w:p>
            <w:r>
              <w:t>$ 3.226.619</w:t>
            </w:r>
          </w:p>
        </w:tc>
        <w:tc>
          <w:tcPr>
            <w:tcW w:type="dxa" w:w="1234"/>
          </w:tcPr>
          <w:p>
            <w:r>
              <w:t>$ 3.226.619</w:t>
            </w:r>
          </w:p>
        </w:tc>
        <w:tc>
          <w:tcPr>
            <w:tcW w:type="dxa" w:w="1234"/>
          </w:tcPr>
          <w:p>
            <w:r>
              <w:t>—</w:t>
            </w:r>
          </w:p>
        </w:tc>
      </w:tr>
      <w:tr>
        <w:tc>
          <w:tcPr>
            <w:tcW w:type="dxa" w:w="1234"/>
          </w:tcPr>
          <w:p>
            <w:r>
              <w:t>Jul-26</w:t>
            </w:r>
          </w:p>
        </w:tc>
        <w:tc>
          <w:tcPr>
            <w:tcW w:type="dxa" w:w="1234"/>
          </w:tcPr>
          <w:p>
            <w:r>
              <w:t>No punta</w:t>
            </w:r>
          </w:p>
        </w:tc>
        <w:tc>
          <w:tcPr>
            <w:tcW w:type="dxa" w:w="1234"/>
          </w:tcPr>
          <w:p>
            <w:r>
              <w:t>890</w:t>
            </w:r>
          </w:p>
        </w:tc>
        <w:tc>
          <w:tcPr>
            <w:tcW w:type="dxa" w:w="1234"/>
          </w:tcPr>
          <w:p>
            <w:r>
              <w:t>—</w:t>
            </w:r>
          </w:p>
        </w:tc>
        <w:tc>
          <w:tcPr>
            <w:tcW w:type="dxa" w:w="1234"/>
          </w:tcPr>
          <w:p>
            <w:r>
              <w:t>$ 1.233.069</w:t>
            </w:r>
          </w:p>
        </w:tc>
        <w:tc>
          <w:tcPr>
            <w:tcW w:type="dxa" w:w="1234"/>
          </w:tcPr>
          <w:p>
            <w:r>
              <w:t>$ 1.233.069</w:t>
            </w:r>
          </w:p>
        </w:tc>
        <w:tc>
          <w:tcPr>
            <w:tcW w:type="dxa" w:w="1234"/>
          </w:tcPr>
          <w:p>
            <w:r>
              <w:t>—</w:t>
            </w:r>
          </w:p>
        </w:tc>
      </w:tr>
      <w:tr>
        <w:tc>
          <w:tcPr>
            <w:tcW w:type="dxa" w:w="1234"/>
          </w:tcPr>
          <w:p>
            <w:r>
              <w:t>Ago-26</w:t>
            </w:r>
          </w:p>
        </w:tc>
        <w:tc>
          <w:tcPr>
            <w:tcW w:type="dxa" w:w="1234"/>
          </w:tcPr>
          <w:p>
            <w:r>
              <w:t>No punta</w:t>
            </w:r>
          </w:p>
        </w:tc>
        <w:tc>
          <w:tcPr>
            <w:tcW w:type="dxa" w:w="1234"/>
          </w:tcPr>
          <w:p>
            <w:r>
              <w:t>280</w:t>
            </w:r>
          </w:p>
        </w:tc>
        <w:tc>
          <w:tcPr>
            <w:tcW w:type="dxa" w:w="1234"/>
          </w:tcPr>
          <w:p>
            <w:r>
              <w:t>—</w:t>
            </w:r>
          </w:p>
        </w:tc>
        <w:tc>
          <w:tcPr>
            <w:tcW w:type="dxa" w:w="1234"/>
          </w:tcPr>
          <w:p>
            <w:r>
              <w:t>$ 388.579</w:t>
            </w:r>
          </w:p>
        </w:tc>
        <w:tc>
          <w:tcPr>
            <w:tcW w:type="dxa" w:w="1234"/>
          </w:tcPr>
          <w:p>
            <w:r>
              <w:t>$ 388.579</w:t>
            </w:r>
          </w:p>
        </w:tc>
        <w:tc>
          <w:tcPr>
            <w:tcW w:type="dxa" w:w="1234"/>
          </w:tcPr>
          <w:p>
            <w:r>
              <w:t>—</w:t>
            </w:r>
          </w:p>
        </w:tc>
      </w:tr>
      <w:tr>
        <w:tc>
          <w:tcPr>
            <w:tcW w:type="dxa" w:w="1234"/>
          </w:tcPr>
          <w:p>
            <w:r>
              <w:t>Sep-26</w:t>
            </w:r>
          </w:p>
        </w:tc>
        <w:tc>
          <w:tcPr>
            <w:tcW w:type="dxa" w:w="1234"/>
          </w:tcPr>
          <w:p>
            <w:r>
              <w:t>No punta</w:t>
            </w:r>
          </w:p>
        </w:tc>
        <w:tc>
          <w:tcPr>
            <w:tcW w:type="dxa" w:w="1234"/>
          </w:tcPr>
          <w:p>
            <w:r>
              <w:t>3.646</w:t>
            </w:r>
          </w:p>
        </w:tc>
        <w:tc>
          <w:tcPr>
            <w:tcW w:type="dxa" w:w="1234"/>
          </w:tcPr>
          <w:p>
            <w:r>
              <w:t>—</w:t>
            </w:r>
          </w:p>
        </w:tc>
        <w:tc>
          <w:tcPr>
            <w:tcW w:type="dxa" w:w="1234"/>
          </w:tcPr>
          <w:p>
            <w:r>
              <w:t>$ 5.050.548</w:t>
            </w:r>
          </w:p>
        </w:tc>
        <w:tc>
          <w:tcPr>
            <w:tcW w:type="dxa" w:w="1234"/>
          </w:tcPr>
          <w:p>
            <w:r>
              <w:t>$ 5.050.548</w:t>
            </w:r>
          </w:p>
        </w:tc>
        <w:tc>
          <w:tcPr>
            <w:tcW w:type="dxa" w:w="1234"/>
          </w:tcPr>
          <w:p>
            <w:r>
              <w:t>—</w:t>
            </w:r>
          </w:p>
        </w:tc>
      </w:tr>
      <w:tr>
        <w:tc>
          <w:tcPr>
            <w:tcW w:type="dxa" w:w="1234"/>
          </w:tcPr>
          <w:p>
            <w:r>
              <w:t>Total</w:t>
            </w:r>
          </w:p>
        </w:tc>
        <w:tc>
          <w:tcPr>
            <w:tcW w:type="dxa" w:w="1234"/>
          </w:tcPr>
          <w:p/>
        </w:tc>
        <w:tc>
          <w:tcPr>
            <w:tcW w:type="dxa" w:w="1234"/>
          </w:tcPr>
          <w:p/>
        </w:tc>
        <w:tc>
          <w:tcPr>
            <w:tcW w:type="dxa" w:w="1234"/>
          </w:tcPr>
          <w:p>
            <w:r>
              <w:t>4.540</w:t>
            </w:r>
          </w:p>
        </w:tc>
        <w:tc>
          <w:tcPr>
            <w:tcW w:type="dxa" w:w="1234"/>
          </w:tcPr>
          <w:p>
            <w:r>
              <w:t>$ 23.897.569</w:t>
            </w:r>
          </w:p>
        </w:tc>
        <w:tc>
          <w:tcPr>
            <w:tcW w:type="dxa" w:w="1234"/>
          </w:tcPr>
          <w:p>
            <w:r>
              <w:t>$ 29.036.487</w:t>
            </w:r>
          </w:p>
        </w:tc>
        <w:tc>
          <w:tcPr>
            <w:tcW w:type="dxa" w:w="1234"/>
          </w:tcPr>
          <w:p>
            <w:r>
              <w:t>$ 5.138.918</w:t>
            </w:r>
          </w:p>
        </w:tc>
      </w:tr>
    </w:tbl>
    <w:p>
      <w:pPr>
        <w:pStyle w:val="Heading2"/>
      </w:pPr>
      <w:r>
        <w:t>Cómo se lee</w:t>
      </w:r>
    </w:p>
    <w:p>
      <w:r>
        <w:t>La barra de septiembre no es un mes calendario: la factura cubre del 30-05-2026 al 02-09-2026 (95 días) y concentra 3.646 m³. Mayo y junio también aparecen altos (cerca de 3.100 y 2.300 m³). Agosto queda en torno a 280 m³. Conviene no usar septiembre como consumo mensual típico al comparar con las otras direcciones.</w:t>
      </w:r>
    </w:p>
    <w:p>
      <w:r>
        <w:t>Diferencia de lecturas 4.803 m³, abono de 1.157 m³ descontables, consumo facturado 3.646 m³. Indemnización por corte el 11-08-2026 (20 h 01 min): −$ 357.614. Arranque 40 mm. Despacho: hector.almendares@mail.weir.</w:t>
      </w:r>
    </w:p>
    <w:p>
      <w:r>
        <w:rPr>
          <w:i/>
          <w:sz w:val="18"/>
        </w:rPr>
        <w:t>Los meses previos a septiembre 2026 se midieron en el gráfico de la boleta. El rojo de la barra es el sobreconsumo del período punta. La diferencia en pesos es solo el recargo de agua potable de ese exceso, $1.131,92 por m³, valorizado a la tarifa del 11-05-2026.</w:t>
      </w:r>
    </w:p>
    <w:p>
      <w:r>
        <w:rPr>
          <w:color w:val="0E3A5D"/>
          <w:sz w:val="18"/>
        </w:rPr>
        <w:t>WES · Perfil de consumo Weir Minerals · San Bernardo · octubre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