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¿Los meses que no cuadran con Matriz cuadran con Estanque Inferior?</w:t>
      </w:r>
    </w:p>
    <w:p>
      <w:pPr>
        <w:jc w:val="center"/>
      </w:pPr>
      <w:r>
        <w:rPr>
          <w:color w:val="595959"/>
          <w:sz w:val="22"/>
        </w:rPr>
        <w:t>Fundo Zapallar — cuentas ESVAL (delta medidor turbina) vs WES</w:t>
      </w:r>
    </w:p>
    <w:p>
      <w:r>
        <w:rPr>
          <w:sz w:val="20"/>
        </w:rPr>
        <w:t>Pregunta: cuando costamos las cuentas ESVAL contra las lecturas de Matriz (000027-01), desde marzo en adelante no calzan. ¿Esos mismos meses llegan a cuadrar con Estanque Inferior (000027-02)?</w:t>
        <w:br/>
        <w:br/>
        <w:t>Criterio: ±5 % = SI, ±15 % = cerca, &gt;15 % = NO. Cuenta = delta del medidor de turbina ESVAL (no el ítem “facturado”). WES = día completo 00:00–24:00 Chile por ciclo de boleta. Marzo–abril = transición (cambio de medidor); no calibrar con esos dos.</w:t>
      </w:r>
    </w:p>
    <w:p>
      <w:pPr>
        <w:jc w:val="center"/>
      </w:pPr>
      <w:r>
        <w:rPr>
          <w:b/>
          <w:color w:val="C00000"/>
          <w:sz w:val="24"/>
        </w:rPr>
        <w:t>VEREDICTO: NO — ninguno de los 5 meses con Matriz≠ESVAL (Mar–Jul 2026) cuadra con Estanque Inferior.</w:t>
      </w:r>
    </w:p>
    <w:p>
      <w:r>
        <w:rPr>
          <w:sz w:val="20"/>
        </w:rPr>
        <w:t>Detalle: en May y Ago el Inferior sí se parece a Matriz (±7–8 %), pero ambos quedan bajos vs la turbina ESVAL. En Mar–Abr (transición) el Inferior se dispara por encima de la cuenta. Solo Feb-26 el Inferior cuadra con ESVAL (±4 %) mientras Matriz queda “cerca” (−10 %).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</w:tblGrid>
      <w:tr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Mes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Ciclo cuenta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N° boleta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Cuenta ESVAL (m³)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Matriz WES (m³)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Dif Matriz vs ESVAL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¿Matriz cuadra?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Estanque Inf. (m³)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Dif Inf. vs ESVAL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¿Inf. cuadra?</w:t>
            </w:r>
          </w:p>
        </w:tc>
        <w:tc>
          <w:tcPr>
            <w:tcW w:type="dxa" w:w="1327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¿Inf. rescata la cuenta?</w:t>
            </w:r>
          </w:p>
        </w:tc>
      </w:tr>
      <w:tr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Sep-25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28/08–27/09/25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90097803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3.375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3.317,6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−1,7%</w:t>
            </w:r>
          </w:p>
        </w:tc>
        <w:tc>
          <w:tcPr>
            <w:tcW w:type="dxa" w:w="1327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3.080,8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−8,7%</w:t>
            </w:r>
          </w:p>
        </w:tc>
        <w:tc>
          <w:tcPr>
            <w:tcW w:type="dxa" w:w="1327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  <w:tc>
          <w:tcPr>
            <w:tcW w:type="dxa" w:w="1327"/>
            <w:shd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Oct-25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27/09–29/10/25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90777916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3.973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4.217,7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+6,2%</w:t>
            </w:r>
          </w:p>
        </w:tc>
        <w:tc>
          <w:tcPr>
            <w:tcW w:type="dxa" w:w="1327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4.397,1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+10,7%</w:t>
            </w:r>
          </w:p>
        </w:tc>
        <w:tc>
          <w:tcPr>
            <w:tcW w:type="dxa" w:w="1327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  <w:tc>
          <w:tcPr>
            <w:tcW w:type="dxa" w:w="1327"/>
            <w:shd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Nov-25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29/10–28/11/25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91459036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5.711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5.838,7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+2,2%</w:t>
            </w:r>
          </w:p>
        </w:tc>
        <w:tc>
          <w:tcPr>
            <w:tcW w:type="dxa" w:w="1327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5.217,7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−8,6%</w:t>
            </w:r>
          </w:p>
        </w:tc>
        <w:tc>
          <w:tcPr>
            <w:tcW w:type="dxa" w:w="1327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  <w:tc>
          <w:tcPr>
            <w:tcW w:type="dxa" w:w="1327"/>
            <w:shd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Dic-25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28/11–30/12/25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92141513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6.319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6.530,2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+3,3%</w:t>
            </w:r>
          </w:p>
        </w:tc>
        <w:tc>
          <w:tcPr>
            <w:tcW w:type="dxa" w:w="1327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5.543,5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−12,3%</w:t>
            </w:r>
          </w:p>
        </w:tc>
        <w:tc>
          <w:tcPr>
            <w:tcW w:type="dxa" w:w="1327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  <w:tc>
          <w:tcPr>
            <w:tcW w:type="dxa" w:w="1327"/>
            <w:shd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Ene-26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30/12/25–30/01/26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92825564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7.193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7.478,8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+4%</w:t>
            </w:r>
          </w:p>
        </w:tc>
        <w:tc>
          <w:tcPr>
            <w:tcW w:type="dxa" w:w="1327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6.341,4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−11,8%</w:t>
            </w:r>
          </w:p>
        </w:tc>
        <w:tc>
          <w:tcPr>
            <w:tcW w:type="dxa" w:w="1327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  <w:tc>
          <w:tcPr>
            <w:tcW w:type="dxa" w:w="1327"/>
            <w:shd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Feb-26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30/01–27/02/26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93509803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6.478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5.857,8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−9,6%</w:t>
            </w:r>
          </w:p>
        </w:tc>
        <w:tc>
          <w:tcPr>
            <w:tcW w:type="dxa" w:w="1327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6.755,5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+4,3%</w:t>
            </w:r>
          </w:p>
        </w:tc>
        <w:tc>
          <w:tcPr>
            <w:tcW w:type="dxa" w:w="1327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  <w:tc>
          <w:tcPr>
            <w:tcW w:type="dxa" w:w="1327"/>
            <w:shd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Mar-26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27/02–30/03/26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94194644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6.793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1.905,7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−72%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12.228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+80%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Abr-26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30/03–29/04/26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94879773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6.034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3.113,4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−48,4%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9.172,9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+52%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May-26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29/04–29/05/26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95565463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4.566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3.332,5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−27%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3.056,1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−33,1%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Jun-26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29/05–27/06/26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96251613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3.707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2.481,5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−33,1%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3.055,2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−17,6%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Jul-26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27/06–29/07/26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96937917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5.067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3.316,9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−34,5%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2.433,1</w:t>
            </w:r>
          </w:p>
        </w:tc>
        <w:tc>
          <w:tcPr>
            <w:tcW w:type="dxa" w:w="1327"/>
            <w:shd w:fill="FCE4D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−52%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Ago-26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29/07–28/08/26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97624985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2.079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1.804,1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−13,2%</w:t>
            </w:r>
          </w:p>
        </w:tc>
        <w:tc>
          <w:tcPr>
            <w:tcW w:type="dxa" w:w="1327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1.676,3</w:t>
            </w:r>
          </w:p>
        </w:tc>
        <w:tc>
          <w:tcPr>
            <w:tcW w:type="dxa" w:w="1327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−19,4%</w:t>
            </w:r>
          </w:p>
        </w:tc>
        <w:tc>
          <w:tcPr>
            <w:tcW w:type="dxa" w:w="1327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327"/>
            <w:shd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684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eses_no_cuadran_tres_vi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6846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4"/>
        </w:rPr>
        <w:t>Solo meses donde Matriz NO cuadra con la cuenta ESVAL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Mes</w:t>
            </w:r>
          </w:p>
        </w:tc>
        <w:tc>
          <w:tcPr>
            <w:tcW w:type="dxa" w:w="2085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Cuenta ESVAL</w:t>
            </w:r>
          </w:p>
        </w:tc>
        <w:tc>
          <w:tcPr>
            <w:tcW w:type="dxa" w:w="2085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Matriz</w:t>
            </w:r>
          </w:p>
        </w:tc>
        <w:tc>
          <w:tcPr>
            <w:tcW w:type="dxa" w:w="2085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Dif % Mat</w:t>
            </w:r>
          </w:p>
        </w:tc>
        <w:tc>
          <w:tcPr>
            <w:tcW w:type="dxa" w:w="2085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Inferior</w:t>
            </w:r>
          </w:p>
        </w:tc>
        <w:tc>
          <w:tcPr>
            <w:tcW w:type="dxa" w:w="2085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Dif % Inf</w:t>
            </w:r>
          </w:p>
        </w:tc>
        <w:tc>
          <w:tcPr>
            <w:tcW w:type="dxa" w:w="2085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¿Inf. rescata?</w:t>
            </w:r>
          </w:p>
        </w:tc>
      </w:tr>
      <w:tr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Mar-26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6.793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1.905,7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−72%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12.228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+80%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Abr-26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6.034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3.113,4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−48,4%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9.172,9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+52%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May-26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4.566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3.332,5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−27%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3.056,1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−33,1%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Jun-26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3.707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2.481,5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−33,1%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3.055,2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−17,6%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Jul-26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5.067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3.316,9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−34,5%</w:t>
            </w:r>
          </w:p>
        </w:tc>
        <w:tc>
          <w:tcPr>
            <w:tcW w:type="dxa" w:w="2085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2.433,1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−52%</w:t>
            </w:r>
          </w:p>
        </w:tc>
        <w:tc>
          <w:tcPr>
            <w:tcW w:type="dxa" w:w="2085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</w:tbl>
    <w:p>
      <w:r>
        <w:rPr>
          <w:sz w:val="20"/>
        </w:rPr>
        <w:t>Conclusión operativa: el desfase post-marzo no se explica “cambiando” el punto de cotejo a Estanque Inferior. La brecha es WES (Matriz e Inferior) frente al medidor de turbina de la boleta ESVAL. En post-transición (May–Ago) Inferior ≈ Matriz; ambos quedan por debajo de la cuenta.</w:t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