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32"/>
        </w:rPr>
        <w:t>INFORME DE AUDITORÍA Y RENDIMIENTO</w:t>
      </w:r>
    </w:p>
    <w:p>
      <w:pPr>
        <w:jc w:val="center"/>
      </w:pPr>
      <w:r>
        <w:rPr>
          <w:rFonts w:ascii="Calibri" w:hAnsi="Calibri"/>
          <w:color w:val="003366"/>
          <w:sz w:val="24"/>
        </w:rPr>
        <w:t>Colegio Juan Pablo II  ·  CORMUP / Peñalolén</w:t>
        <w:br/>
        <w:t>Nodo WES 000008-14</w:t>
      </w:r>
    </w:p>
    <w:p>
      <w:pPr>
        <w:jc w:val="center"/>
      </w:pPr>
      <w:r>
        <w:rPr>
          <w:rFonts w:ascii="Calibri" w:hAnsi="Calibri"/>
          <w:color w:val="475569"/>
          <w:sz w:val="20"/>
        </w:rPr>
        <w:t>Cuenta Aguas Andinas 364260-7  ·  Medidor 130738981</w:t>
        <w:br/>
        <w:t>Generado el 24-09-2026 14:01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1. AUDITORÍA DE HABILITACIÓN (MARZO 2024)</w:t>
      </w:r>
    </w:p>
    <w:p>
      <w:pPr>
        <w:spacing w:after="120" w:before="0"/>
      </w:pPr>
      <w:r>
        <w:rPr>
          <w:rFonts w:ascii="Calibri" w:hAnsi="Calibri"/>
          <w:b w:val="0"/>
          <w:color w:val="1E293B"/>
          <w:sz w:val="22"/>
        </w:rPr>
        <w:t>Fuente: Informe de Auditorías WES CORMUP, marzo 2024, y planilla «AUDITORIA CORMUP &amp; PUENTE ALTO 2024», hoja AUDITORIAS, establecimiento Escuela Especial Juan Pablo II (cuenta Aguas Andinas 364260-7, nodo 000008-14). El control estuvo apagado del 11 al 13 de marzo y encendido del 13 al 15 de marzo. Las dos muestras son lecturas del mismo medidor.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rPr>
          <w:cantSplit/>
        </w:trPr>
        <w:tc>
          <w:tcPr>
            <w:tcW w:type="dxa" w:w="208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Período</w:t>
            </w:r>
          </w:p>
        </w:tc>
        <w:tc>
          <w:tcPr>
            <w:tcW w:type="dxa" w:w="208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Lectura inicial</w:t>
            </w:r>
          </w:p>
        </w:tc>
        <w:tc>
          <w:tcPr>
            <w:tcW w:type="dxa" w:w="208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Lectura final</w:t>
            </w:r>
          </w:p>
        </w:tc>
        <w:tc>
          <w:tcPr>
            <w:tcW w:type="dxa" w:w="208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Consumo</w:t>
            </w:r>
          </w:p>
        </w:tc>
        <w:tc>
          <w:tcPr>
            <w:tcW w:type="dxa" w:w="208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m³/día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11-mar-2024 → 13-mar-2024 (sin control)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69.135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69.231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96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48</w:t>
            </w:r>
          </w:p>
        </w:tc>
      </w:tr>
      <w:tr>
        <w:trPr>
          <w:cantSplit/>
        </w:trPr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13-mar-2024 → 15-mar-2024 (con WES)</w:t>
            </w:r>
          </w:p>
        </w:tc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69.231</w:t>
            </w:r>
          </w:p>
        </w:tc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69.248</w:t>
            </w:r>
          </w:p>
        </w:tc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17</w:t>
            </w:r>
          </w:p>
        </w:tc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8,5</w:t>
            </w:r>
          </w:p>
        </w:tc>
      </w:tr>
      <w:tr>
        <w:trPr>
          <w:cantSplit/>
        </w:trPr>
        <w:tc>
          <w:tcPr>
            <w:tcW w:type="dxa" w:w="208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Ahorro</w:t>
            </w:r>
          </w:p>
        </w:tc>
        <w:tc>
          <w:tcPr>
            <w:tcW w:type="dxa" w:w="208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08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208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79 m³ / 2 días</w:t>
            </w:r>
          </w:p>
        </w:tc>
        <w:tc>
          <w:tcPr>
            <w:tcW w:type="dxa" w:w="208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39,5</w:t>
            </w:r>
          </w:p>
        </w:tc>
      </w:tr>
    </w:tbl>
    <w:p>
      <w:pPr>
        <w:spacing w:after="120" w:before="0"/>
      </w:pPr>
      <w:r>
        <w:rPr>
          <w:rFonts w:ascii="Calibri" w:hAnsi="Calibri"/>
          <w:b w:val="0"/>
          <w:color w:val="1E293B"/>
          <w:sz w:val="22"/>
        </w:rPr>
        <w:t>Eficiencia de la auditoría: 82.3 % (ahorro diario ÷ consumo sin control). Proyección a 30 días: 1.185 m³ y $1.385.265 a la tarifa del informe ($1.169/m³). El informe Word redondea el ahorro a 40 m³/día y la eficiencia a 82,2 %.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31012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p2_auditoria_sin_vs_con_20260924_14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01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2. AHORRO MENSUAL SOBRE EL HISTÓRICO WES</w:t>
      </w:r>
    </w:p>
    <w:p>
      <w:pPr>
        <w:spacing w:after="120" w:before="0"/>
      </w:pPr>
      <w:r>
        <w:rPr>
          <w:rFonts w:ascii="Calibri" w:hAnsi="Calibri"/>
          <w:b w:val="0"/>
          <w:color w:val="1E293B"/>
          <w:sz w:val="22"/>
        </w:rPr>
        <w:t>El consumo con WES es el registro mensual de la API del nodo 000008-14. El consumo sin WES de cada mes se estima con la eficiencia de la auditoría: sin WES = consumo WES ÷ (1 − 0,8229). El ahorro del mes es la diferencia. No se proyectan los meses con consumo medido nulo o casi nulo (arranque del punto y enero–febrero 2025).</w:t>
      </w:r>
    </w:p>
    <w:p>
      <w:pPr>
        <w:spacing w:after="120" w:before="0"/>
      </w:pPr>
      <w:r>
        <w:rPr>
          <w:rFonts w:ascii="Calibri" w:hAnsi="Calibri"/>
          <w:b w:val="0"/>
          <w:color w:val="1E293B"/>
          <w:sz w:val="22"/>
        </w:rPr>
        <w:t>En los 21 meses con medición, el nodo registró 2.803,6 m³. Sin el control, el mismo período se estima en 15.832,3 m³. El ahorro acumulado es 13.028,7 m³, equivalentes a $15.230.527 a $1.169/m³.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rPr>
          <w:cantSplit/>
        </w:trPr>
        <w:tc>
          <w:tcPr>
            <w:tcW w:type="dxa" w:w="208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Mes</w:t>
            </w:r>
          </w:p>
        </w:tc>
        <w:tc>
          <w:tcPr>
            <w:tcW w:type="dxa" w:w="208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con WES</w:t>
            </w:r>
          </w:p>
        </w:tc>
        <w:tc>
          <w:tcPr>
            <w:tcW w:type="dxa" w:w="208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sin WES est.</w:t>
            </w:r>
          </w:p>
        </w:tc>
        <w:tc>
          <w:tcPr>
            <w:tcW w:type="dxa" w:w="208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Ahorro m³</w:t>
            </w:r>
          </w:p>
        </w:tc>
        <w:tc>
          <w:tcPr>
            <w:tcW w:type="dxa" w:w="208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Ahorro ($1.169/m³)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nov-24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1,9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10,8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8,9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$10.376</w:t>
            </w:r>
          </w:p>
        </w:tc>
      </w:tr>
      <w:tr>
        <w:trPr>
          <w:cantSplit/>
        </w:trPr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dic-24</w:t>
            </w:r>
          </w:p>
        </w:tc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24,4</w:t>
            </w:r>
          </w:p>
        </w:tc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137,7</w:t>
            </w:r>
          </w:p>
        </w:tc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113,3</w:t>
            </w:r>
          </w:p>
        </w:tc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$132.442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mar-25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139,8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789,6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649,8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$759.560</w:t>
            </w:r>
          </w:p>
        </w:tc>
      </w:tr>
      <w:tr>
        <w:trPr>
          <w:cantSplit/>
        </w:trPr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abr-25</w:t>
            </w:r>
          </w:p>
        </w:tc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181,1</w:t>
            </w:r>
          </w:p>
        </w:tc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1.022,5</w:t>
            </w:r>
          </w:p>
        </w:tc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841,4</w:t>
            </w:r>
          </w:p>
        </w:tc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$983.592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may-25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150,3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848,9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698,6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$816.654</w:t>
            </w:r>
          </w:p>
        </w:tc>
      </w:tr>
      <w:tr>
        <w:trPr>
          <w:cantSplit/>
        </w:trPr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jun-25</w:t>
            </w:r>
          </w:p>
        </w:tc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100,1</w:t>
            </w:r>
          </w:p>
        </w:tc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565,4</w:t>
            </w:r>
          </w:p>
        </w:tc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465,3</w:t>
            </w:r>
          </w:p>
        </w:tc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$543.893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jul-25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142,8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806,3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663,5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$775.640</w:t>
            </w:r>
          </w:p>
        </w:tc>
      </w:tr>
      <w:tr>
        <w:trPr>
          <w:cantSplit/>
        </w:trPr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ago-25</w:t>
            </w:r>
          </w:p>
        </w:tc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208,4</w:t>
            </w:r>
          </w:p>
        </w:tc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1.177,1</w:t>
            </w:r>
          </w:p>
        </w:tc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968,6</w:t>
            </w:r>
          </w:p>
        </w:tc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$1.132.332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sep-25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234,9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1.326,6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1.091,7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$1.276.182</w:t>
            </w:r>
          </w:p>
        </w:tc>
      </w:tr>
      <w:tr>
        <w:trPr>
          <w:cantSplit/>
        </w:trPr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oct-25</w:t>
            </w:r>
          </w:p>
        </w:tc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321,8</w:t>
            </w:r>
          </w:p>
        </w:tc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1.817,2</w:t>
            </w:r>
          </w:p>
        </w:tc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1.495,4</w:t>
            </w:r>
          </w:p>
        </w:tc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$1.748.150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nov-25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281,3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1.588,7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1.307,4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$1.528.355</w:t>
            </w:r>
          </w:p>
        </w:tc>
      </w:tr>
      <w:tr>
        <w:trPr>
          <w:cantSplit/>
        </w:trPr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dic-25</w:t>
            </w:r>
          </w:p>
        </w:tc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157,8</w:t>
            </w:r>
          </w:p>
        </w:tc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891,1</w:t>
            </w:r>
          </w:p>
        </w:tc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733,3</w:t>
            </w:r>
          </w:p>
        </w:tc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$857.235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ene-26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17,1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96,7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79,6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$93.057</w:t>
            </w:r>
          </w:p>
        </w:tc>
      </w:tr>
      <w:tr>
        <w:trPr>
          <w:cantSplit/>
        </w:trPr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feb-26</w:t>
            </w:r>
          </w:p>
        </w:tc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128,7</w:t>
            </w:r>
          </w:p>
        </w:tc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727</w:t>
            </w:r>
          </w:p>
        </w:tc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598,3</w:t>
            </w:r>
          </w:p>
        </w:tc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$699.369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mar-26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120,1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678,4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558,3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$652.596</w:t>
            </w:r>
          </w:p>
        </w:tc>
      </w:tr>
      <w:tr>
        <w:trPr>
          <w:cantSplit/>
        </w:trPr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abr-26</w:t>
            </w:r>
          </w:p>
        </w:tc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128,8</w:t>
            </w:r>
          </w:p>
        </w:tc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727,2</w:t>
            </w:r>
          </w:p>
        </w:tc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598,4</w:t>
            </w:r>
          </w:p>
        </w:tc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$699.586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may-26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105,5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595,7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490,2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$573.065</w:t>
            </w:r>
          </w:p>
        </w:tc>
      </w:tr>
      <w:tr>
        <w:trPr>
          <w:cantSplit/>
        </w:trPr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jun-26</w:t>
            </w:r>
          </w:p>
        </w:tc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78,1</w:t>
            </w:r>
          </w:p>
        </w:tc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441</w:t>
            </w:r>
          </w:p>
        </w:tc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362,9</w:t>
            </w:r>
          </w:p>
        </w:tc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$424.271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jul-26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89,8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506,8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417,1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$487.559</w:t>
            </w:r>
          </w:p>
        </w:tc>
      </w:tr>
      <w:tr>
        <w:trPr>
          <w:cantSplit/>
        </w:trPr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ago-26</w:t>
            </w:r>
          </w:p>
        </w:tc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104,1</w:t>
            </w:r>
          </w:p>
        </w:tc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587,7</w:t>
            </w:r>
          </w:p>
        </w:tc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483,7</w:t>
            </w:r>
          </w:p>
        </w:tc>
        <w:tc>
          <w:tcPr>
            <w:tcW w:type="dxa" w:w="208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$565.405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sep-26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86,7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489,8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403,1</w:t>
            </w:r>
          </w:p>
        </w:tc>
        <w:tc>
          <w:tcPr>
            <w:tcW w:type="dxa" w:w="208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$471.207</w:t>
            </w:r>
          </w:p>
        </w:tc>
      </w:tr>
      <w:tr>
        <w:trPr>
          <w:cantSplit/>
        </w:trPr>
        <w:tc>
          <w:tcPr>
            <w:tcW w:type="dxa" w:w="208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TOTAL</w:t>
            </w:r>
          </w:p>
        </w:tc>
        <w:tc>
          <w:tcPr>
            <w:tcW w:type="dxa" w:w="208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2.803,6</w:t>
            </w:r>
          </w:p>
        </w:tc>
        <w:tc>
          <w:tcPr>
            <w:tcW w:type="dxa" w:w="208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15.832,3</w:t>
            </w:r>
          </w:p>
        </w:tc>
        <w:tc>
          <w:tcPr>
            <w:tcW w:type="dxa" w:w="208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13.028,7</w:t>
            </w:r>
          </w:p>
        </w:tc>
        <w:tc>
          <w:tcPr>
            <w:tcW w:type="dxa" w:w="208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$15.230.527</w:t>
            </w:r>
          </w:p>
        </w:tc>
      </w:tr>
    </w:tbl>
    <w:p>
      <w:pPr>
        <w:pStyle w:val="Heading2"/>
        <w:keepNext/>
        <w:widowControl/>
        <w:spacing w:after="60"/>
      </w:pPr>
      <w:r>
        <w:rPr>
          <w:b/>
          <w:color w:val="003366"/>
        </w:rPr>
        <w:t>2.1 CONSUMO CON WES Y SIN WES ESTIMADO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6286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p2_historico_con_vs_sin_wes_20260924_14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8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2.2 CUÁNTO AHORRA POR MES</w:t>
      </w:r>
    </w:p>
    <w:p>
      <w:pPr>
        <w:spacing w:after="120" w:before="0"/>
      </w:pPr>
      <w:r>
        <w:rPr>
          <w:rFonts w:ascii="Calibri" w:hAnsi="Calibri"/>
          <w:b w:val="0"/>
          <w:color w:val="1E293B"/>
          <w:sz w:val="22"/>
        </w:rPr>
        <w:t>Cada barra es el ahorro de ese mes: volumen que el medidor habría marcado sin control, menos el volumen que registró el nodo con WES activo.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6286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p2_ahorro_mensual_m3_20260924_14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8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2.3 AHORRO MENSUAL EN PESOS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6286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p2_ahorro_mensual_clp_20260924_14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8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3. FACTURACIÓN Y CONSUMO WES</w:t>
      </w:r>
    </w:p>
    <w:p>
      <w:pPr>
        <w:spacing w:after="120" w:before="0"/>
      </w:pPr>
      <w:r>
        <w:rPr>
          <w:rFonts w:ascii="Calibri" w:hAnsi="Calibri"/>
          <w:b w:val="0"/>
          <w:color w:val="1E293B"/>
          <w:sz w:val="22"/>
        </w:rPr>
        <w:t>Además de la auditoría, se cruzan las boletas posteriores de la misma cuenta con el nodo. Entran solo lecturas reales. La boleta a promedio no se suma. Si faltan días en la API, se proyectan con el promedio del mismo período (mínimo 3 días con dato).</w:t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3.1 RESULTADO DEL CRUCE</w:t>
      </w:r>
    </w:p>
    <w:p>
      <w:pPr>
        <w:spacing w:after="120" w:before="0"/>
      </w:pPr>
      <w:r>
        <w:rPr>
          <w:rFonts w:ascii="Calibri" w:hAnsi="Calibri"/>
          <w:b w:val="0"/>
          <w:color w:val="1E293B"/>
          <w:sz w:val="22"/>
        </w:rPr>
        <w:t>En los 8 períodos con lectura real, la cuenta registra 196 m³ y WES 1.003,2 m³. La diferencia acumulada es -807,2 m³ (-411.8% respecto de la cuenta): el nodo mide más agua que la que factura Aguas Andinas. No hay un ahorro de la boleta frente al registro WES; la brecha es de sobre-registro del nodo (o de sub-registro del medidor de la compañía) y se mantiene en todos los meses válidos.</w:t>
      </w:r>
    </w:p>
    <w:p>
      <w:pPr>
        <w:spacing w:after="120" w:before="0"/>
      </w:pPr>
      <w:r>
        <w:rPr>
          <w:rFonts w:ascii="Calibri" w:hAnsi="Calibri"/>
          <w:b w:val="0"/>
          <w:color w:val="1E293B"/>
          <w:sz w:val="22"/>
        </w:rPr>
        <w:t>Valorización de esa diferencia a $1.270/m³: $-1.025.126. La boleta de 09-sep-2026 (N° 9458934, 26 m³, $31.780) está facturada a promedio y queda fuera del comparativo.</w:t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3.2 HISTÓRICO POR PERÍODO DE LECTURA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rPr>
          <w:cantSplit/>
        </w:trPr>
        <w:tc>
          <w:tcPr>
            <w:tcW w:type="dxa" w:w="104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Período de lecturas</w:t>
            </w:r>
          </w:p>
        </w:tc>
        <w:tc>
          <w:tcPr>
            <w:tcW w:type="dxa" w:w="104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Emisión</w:t>
            </w:r>
          </w:p>
        </w:tc>
        <w:tc>
          <w:tcPr>
            <w:tcW w:type="dxa" w:w="104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Boleta</w:t>
            </w:r>
          </w:p>
        </w:tc>
        <w:tc>
          <w:tcPr>
            <w:tcW w:type="dxa" w:w="104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cuenta</w:t>
            </w:r>
          </w:p>
        </w:tc>
        <w:tc>
          <w:tcPr>
            <w:tcW w:type="dxa" w:w="104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</w:t>
            </w:r>
          </w:p>
        </w:tc>
        <w:tc>
          <w:tcPr>
            <w:tcW w:type="dxa" w:w="104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Huecos (d)</w:t>
            </w:r>
          </w:p>
        </w:tc>
        <w:tc>
          <w:tcPr>
            <w:tcW w:type="dxa" w:w="104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WES+proy</w:t>
            </w:r>
          </w:p>
        </w:tc>
        <w:tc>
          <w:tcPr>
            <w:tcW w:type="dxa" w:w="104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Dif. m³</w:t>
            </w:r>
          </w:p>
        </w:tc>
        <w:tc>
          <w:tcPr>
            <w:tcW w:type="dxa" w:w="104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% vs cuenta</w:t>
            </w:r>
          </w:p>
        </w:tc>
        <w:tc>
          <w:tcPr>
            <w:tcW w:type="dxa" w:w="104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Total boleta</w:t>
            </w:r>
          </w:p>
        </w:tc>
      </w:tr>
      <w:tr>
        <w:trPr>
          <w:cantSplit/>
        </w:trPr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04-dic-2025 → 02-ene-2026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10-ene-2026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9004459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118,8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162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-152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-1520,0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$14.250</w:t>
            </w:r>
          </w:p>
        </w:tc>
      </w:tr>
      <w:tr>
        <w:trPr>
          <w:cantSplit/>
        </w:trPr>
        <w:tc>
          <w:tcPr>
            <w:tcW w:type="dxa" w:w="104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02-ene-2026 → 02-feb-2026</w:t>
            </w:r>
          </w:p>
        </w:tc>
        <w:tc>
          <w:tcPr>
            <w:tcW w:type="dxa" w:w="104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09-feb-2026</w:t>
            </w:r>
          </w:p>
        </w:tc>
        <w:tc>
          <w:tcPr>
            <w:tcW w:type="dxa" w:w="104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9062561</w:t>
            </w:r>
          </w:p>
        </w:tc>
        <w:tc>
          <w:tcPr>
            <w:tcW w:type="dxa" w:w="104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27</w:t>
            </w:r>
          </w:p>
        </w:tc>
        <w:tc>
          <w:tcPr>
            <w:tcW w:type="dxa" w:w="104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type="dxa" w:w="104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26</w:t>
            </w:r>
          </w:p>
        </w:tc>
        <w:tc>
          <w:tcPr>
            <w:tcW w:type="dxa" w:w="104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127,8</w:t>
            </w:r>
          </w:p>
        </w:tc>
        <w:tc>
          <w:tcPr>
            <w:tcW w:type="dxa" w:w="104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-100,8</w:t>
            </w:r>
          </w:p>
        </w:tc>
        <w:tc>
          <w:tcPr>
            <w:tcW w:type="dxa" w:w="104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-373,5</w:t>
            </w:r>
          </w:p>
        </w:tc>
        <w:tc>
          <w:tcPr>
            <w:tcW w:type="dxa" w:w="104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$36.940</w:t>
            </w:r>
          </w:p>
        </w:tc>
      </w:tr>
      <w:tr>
        <w:trPr>
          <w:cantSplit/>
        </w:trPr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02-feb-2026 → 05-mar-2026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10-mar-2026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9119121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148,5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176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-148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-528,7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$38.670</w:t>
            </w:r>
          </w:p>
        </w:tc>
      </w:tr>
      <w:tr>
        <w:trPr>
          <w:cantSplit/>
        </w:trPr>
        <w:tc>
          <w:tcPr>
            <w:tcW w:type="dxa" w:w="104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05-mar-2026 → 02-abr-2026</w:t>
            </w:r>
          </w:p>
        </w:tc>
        <w:tc>
          <w:tcPr>
            <w:tcW w:type="dxa" w:w="104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10-abr-2026</w:t>
            </w:r>
          </w:p>
        </w:tc>
        <w:tc>
          <w:tcPr>
            <w:tcW w:type="dxa" w:w="104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9174713</w:t>
            </w:r>
          </w:p>
        </w:tc>
        <w:tc>
          <w:tcPr>
            <w:tcW w:type="dxa" w:w="104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18</w:t>
            </w:r>
          </w:p>
        </w:tc>
        <w:tc>
          <w:tcPr>
            <w:tcW w:type="dxa" w:w="104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117,3</w:t>
            </w:r>
          </w:p>
        </w:tc>
        <w:tc>
          <w:tcPr>
            <w:tcW w:type="dxa" w:w="104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04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117,3</w:t>
            </w:r>
          </w:p>
        </w:tc>
        <w:tc>
          <w:tcPr>
            <w:tcW w:type="dxa" w:w="104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-99,3</w:t>
            </w:r>
          </w:p>
        </w:tc>
        <w:tc>
          <w:tcPr>
            <w:tcW w:type="dxa" w:w="104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-551,6</w:t>
            </w:r>
          </w:p>
        </w:tc>
        <w:tc>
          <w:tcPr>
            <w:tcW w:type="dxa" w:w="104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$64.460</w:t>
            </w:r>
          </w:p>
        </w:tc>
      </w:tr>
      <w:tr>
        <w:trPr>
          <w:cantSplit/>
        </w:trPr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02-abr-2026 → 04-may-2026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11-may-2026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9231585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19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128,4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128,4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-109,4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-575,6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$28.120</w:t>
            </w:r>
          </w:p>
        </w:tc>
      </w:tr>
      <w:tr>
        <w:trPr>
          <w:cantSplit/>
        </w:trPr>
        <w:tc>
          <w:tcPr>
            <w:tcW w:type="dxa" w:w="104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04-may-2026 → 03-jun-2026</w:t>
            </w:r>
          </w:p>
        </w:tc>
        <w:tc>
          <w:tcPr>
            <w:tcW w:type="dxa" w:w="104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09-jun-2026</w:t>
            </w:r>
          </w:p>
        </w:tc>
        <w:tc>
          <w:tcPr>
            <w:tcW w:type="dxa" w:w="104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9289980</w:t>
            </w:r>
          </w:p>
        </w:tc>
        <w:tc>
          <w:tcPr>
            <w:tcW w:type="dxa" w:w="104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36</w:t>
            </w:r>
          </w:p>
        </w:tc>
        <w:tc>
          <w:tcPr>
            <w:tcW w:type="dxa" w:w="104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122,5</w:t>
            </w:r>
          </w:p>
        </w:tc>
        <w:tc>
          <w:tcPr>
            <w:tcW w:type="dxa" w:w="104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04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122,5</w:t>
            </w:r>
          </w:p>
        </w:tc>
        <w:tc>
          <w:tcPr>
            <w:tcW w:type="dxa" w:w="104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-86,5</w:t>
            </w:r>
          </w:p>
        </w:tc>
        <w:tc>
          <w:tcPr>
            <w:tcW w:type="dxa" w:w="104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-240,2</w:t>
            </w:r>
          </w:p>
        </w:tc>
        <w:tc>
          <w:tcPr>
            <w:tcW w:type="dxa" w:w="104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$79.240</w:t>
            </w:r>
          </w:p>
        </w:tc>
      </w:tr>
      <w:tr>
        <w:trPr>
          <w:cantSplit/>
        </w:trPr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03-jun-2026 → 03-jul-2026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09-jul-2026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9345231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23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67,6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67,6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-44,6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-194,0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$33.090</w:t>
            </w:r>
          </w:p>
        </w:tc>
      </w:tr>
      <w:tr>
        <w:trPr>
          <w:cantSplit/>
        </w:trPr>
        <w:tc>
          <w:tcPr>
            <w:tcW w:type="dxa" w:w="104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03-jul-2026 → 03-ago-2026</w:t>
            </w:r>
          </w:p>
        </w:tc>
        <w:tc>
          <w:tcPr>
            <w:tcW w:type="dxa" w:w="104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10-ago-2026</w:t>
            </w:r>
          </w:p>
        </w:tc>
        <w:tc>
          <w:tcPr>
            <w:tcW w:type="dxa" w:w="104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9403874</w:t>
            </w:r>
          </w:p>
        </w:tc>
        <w:tc>
          <w:tcPr>
            <w:tcW w:type="dxa" w:w="104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35</w:t>
            </w:r>
          </w:p>
        </w:tc>
        <w:tc>
          <w:tcPr>
            <w:tcW w:type="dxa" w:w="104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101,6</w:t>
            </w:r>
          </w:p>
        </w:tc>
        <w:tc>
          <w:tcPr>
            <w:tcW w:type="dxa" w:w="104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04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101,6</w:t>
            </w:r>
          </w:p>
        </w:tc>
        <w:tc>
          <w:tcPr>
            <w:tcW w:type="dxa" w:w="104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-66,6</w:t>
            </w:r>
          </w:p>
        </w:tc>
        <w:tc>
          <w:tcPr>
            <w:tcW w:type="dxa" w:w="104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-190,2</w:t>
            </w:r>
          </w:p>
        </w:tc>
        <w:tc>
          <w:tcPr>
            <w:tcW w:type="dxa" w:w="104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$43.560</w:t>
            </w:r>
          </w:p>
        </w:tc>
      </w:tr>
      <w:tr>
        <w:trPr>
          <w:cantSplit/>
        </w:trPr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03-ago-2026 → 03-sep-2026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09-sep-2026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9458934 *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26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112,8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04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$31.780</w:t>
            </w:r>
          </w:p>
        </w:tc>
      </w:tr>
      <w:tr>
        <w:trPr>
          <w:cantSplit/>
        </w:trPr>
        <w:tc>
          <w:tcPr>
            <w:tcW w:type="dxa" w:w="1043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TOTAL lecturas reales</w:t>
            </w:r>
          </w:p>
        </w:tc>
        <w:tc>
          <w:tcPr>
            <w:tcW w:type="dxa" w:w="1043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043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043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196</w:t>
            </w:r>
          </w:p>
        </w:tc>
        <w:tc>
          <w:tcPr>
            <w:tcW w:type="dxa" w:w="1043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828,6</w:t>
            </w:r>
          </w:p>
        </w:tc>
        <w:tc>
          <w:tcPr>
            <w:tcW w:type="dxa" w:w="1043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39</w:t>
            </w:r>
          </w:p>
        </w:tc>
        <w:tc>
          <w:tcPr>
            <w:tcW w:type="dxa" w:w="1043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1.003,2</w:t>
            </w:r>
          </w:p>
        </w:tc>
        <w:tc>
          <w:tcPr>
            <w:tcW w:type="dxa" w:w="1043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-807,2</w:t>
            </w:r>
          </w:p>
        </w:tc>
        <w:tc>
          <w:tcPr>
            <w:tcW w:type="dxa" w:w="1043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-411,8</w:t>
            </w:r>
          </w:p>
        </w:tc>
        <w:tc>
          <w:tcPr>
            <w:tcW w:type="dxa" w:w="1043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$338.330</w:t>
            </w:r>
          </w:p>
        </w:tc>
      </w:tr>
    </w:tbl>
    <w:p>
      <w:pPr>
        <w:spacing w:after="120" w:before="0"/>
      </w:pPr>
      <w:r>
        <w:rPr>
          <w:rFonts w:ascii="Calibri" w:hAnsi="Calibri"/>
          <w:b w:val="0"/>
          <w:color w:val="1E293B"/>
          <w:sz w:val="18"/>
        </w:rPr>
        <w:t>* Boleta a promedio / estimado: no se suma al total ni se grafica. Los tres primeros períodos tienen días sin dato en la API; la columna m³ WES+proy incorpora esa proyección.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4. GRÁFICOS</w:t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4.1 FACTURACIÓN Y CONSUMO WES</w:t>
      </w:r>
    </w:p>
    <w:p>
      <w:pPr>
        <w:spacing w:after="120" w:before="0"/>
      </w:pPr>
      <w:r>
        <w:rPr>
          <w:rFonts w:ascii="Calibri" w:hAnsi="Calibri"/>
          <w:b w:val="0"/>
          <w:color w:val="1E293B"/>
          <w:sz w:val="22"/>
        </w:rPr>
        <w:t>Cada barra agrupa el mes de emisión de la boleta. En naranja, los m³ de la lectura real; en azul, el consumo WES del mismo intervalo, con la proyección de huecos cuando corresponde.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6807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p2_historico_facturacion_vs_wes_20260924_14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0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4.2 DIFERENCIA MENSUAL</w:t>
      </w:r>
    </w:p>
    <w:p>
      <w:pPr>
        <w:spacing w:after="120" w:before="0"/>
      </w:pPr>
      <w:r>
        <w:rPr>
          <w:rFonts w:ascii="Calibri" w:hAnsi="Calibri"/>
          <w:b w:val="0"/>
          <w:color w:val="1E293B"/>
          <w:sz w:val="22"/>
        </w:rPr>
        <w:t>La diferencia mensual es m³ facturados menos m³ WES (con proyección de huecos). Un valor positivo sería un volumen facturado por sobre el registro WES. En Juan Pablo II todos los meses válidos son negativos: WES queda por encima de la cuenta. Esa brecha no debe leerse como ahorro de agua del establecimiento.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6807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p2_diferencia_mensual_20260924_14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0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4.3 VALORIZACIÓN DE LA DIFERENCIA</w:t>
      </w:r>
    </w:p>
    <w:p>
      <w:pPr>
        <w:spacing w:after="120" w:before="0"/>
      </w:pPr>
      <w:r>
        <w:rPr>
          <w:rFonts w:ascii="Calibri" w:hAnsi="Calibri"/>
          <w:b w:val="0"/>
          <w:color w:val="1E293B"/>
          <w:sz w:val="22"/>
        </w:rPr>
        <w:t>La misma diferencia, en pesos, a $1.270 por m³. Sirve para dimensionar la brecha. No reemplaza el total a pagar de la boleta.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6807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p2_valorizacion_diferencia_20260924_14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0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4.4 HISTÓRICO MENSUAL DEL NODO WES</w:t>
      </w:r>
    </w:p>
    <w:p>
      <w:pPr>
        <w:spacing w:after="120" w:before="0"/>
      </w:pPr>
      <w:r>
        <w:rPr>
          <w:rFonts w:ascii="Calibri" w:hAnsi="Calibri"/>
          <w:b w:val="0"/>
          <w:color w:val="1E293B"/>
          <w:sz w:val="22"/>
        </w:rPr>
        <w:t>Consumo mensual que devuelve la API del nodo, independiente del corte de la boleta. Los meses de vacaciones y los primeros meses de medición quedan bajos o en cero.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5666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p2_consumo_mensual_wes_20260924_14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6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5. CONCLUSIÓN</w:t>
      </w:r>
    </w:p>
    <w:p>
      <w:pPr>
        <w:spacing w:after="120" w:before="0"/>
      </w:pPr>
      <w:r>
        <w:rPr>
          <w:rFonts w:ascii="Calibri" w:hAnsi="Calibri"/>
          <w:b w:val="0"/>
          <w:color w:val="1E293B"/>
          <w:sz w:val="22"/>
        </w:rPr>
        <w:t>Entre 04-dic-2025 y 03-ago-2026, las lecturas reales suman 196 m³ facturados contra 1.003,2 m³ WES (diferencia -807,2 m³, $-1.025.126 a tarifa de referencia). El desvío es estable y de gran magnitud porcentual, incluso en los meses sin huecos de API (abril a agosto 2026). Conviene revisar en terreno que el medidor de la compañía y el punto WES midan el mismo ramal, y contrastar la lectura física del medidor  130738981 con el acumulado del nodo.</w:t>
      </w:r>
    </w:p>
    <w:p>
      <w:pPr>
        <w:spacing w:after="120" w:before="0"/>
      </w:pPr>
      <w:r>
        <w:rPr>
          <w:rFonts w:ascii="Calibri" w:hAnsi="Calibri"/>
          <w:b w:val="0"/>
          <w:color w:val="1E293B"/>
          <w:sz w:val="22"/>
        </w:rPr>
        <w:t>Fuente de las boletas: facturaciones Aguas Andinas del establecimiento (carpeta Colegios / Peñalolén / Facturaciones). Fuente del consumo: API WES, nodo 000008-14. El rendimiento que fija la auditoría de marzo 2024 es 82.3 % (39,5 m³/día; 1.185 m³ y $1.385.265 al mes, a $1.169/m³). Esa eficiencia es la que se aplica al histórico del nodo para el ahorro mensual. El cruce con las boletas mide otra cosa: si el medidor de la compañía y el nodo coinciden.</w:t>
      </w:r>
    </w:p>
    <w:sectPr w:rsidR="00FC693F" w:rsidRPr="0006063C" w:rsidSect="00034616">
      <w:headerReference w:type="default" r:id="rId9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