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13:35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Criterio hidráulico (DN90)</w:t>
      </w:r>
    </w:p>
    <w:p>
      <w:r>
        <w:rPr>
          <w:rFonts w:ascii="Calibri" w:hAnsi="Calibri" w:eastAsia="Calibri"/>
          <w:b w:val="0"/>
          <w:sz w:val="22"/>
        </w:rPr>
        <w:t>La red del punto es tubería de DN90 fierro dúctil. Como referencia de capacidad máxima razonable de red se adopta ≈ 60 m³/h (equivalente a ~2,5 m/s en diámetro interior ≈ 90 mm).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 (diseño habitual)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 de red)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Los pulsos observados de ~92 m³/h y ~200 m³/h superan de forma clara el techo hidráulico de la tubería (implicarían velocidades del orden de 4–9 m/s), por lo que no corresponden a caudal real de la red sino a error de registro en memoria.</w:t>
      </w:r>
    </w:p>
    <w:p>
      <w:pPr>
        <w:pStyle w:val="Heading1"/>
      </w:pPr>
      <w:r>
        <w:rPr>
          <w:color w:val="1F4788"/>
        </w:rPr>
        <w:t>4.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(no del sensor ni de la red). Con el reemplazo de memoria el punto queda normalizado. Se deja seguimiento diario matutino del nodo 000027-03 con umbral de alerta en 60 m³/h para detectar cualquier recurrencia de lecturas imposibles.</w:t>
      </w:r>
    </w:p>
    <w:p>
      <w:r>
        <w:rPr>
          <w:rFonts w:ascii="Calibri" w:hAnsi="Calibri" w:eastAsia="Calibri"/>
          <w:b w:val="0"/>
          <w:color w:val="646464"/>
          <w:sz w:val="18"/>
        </w:rPr>
        <w:t>Nota: este informe documenta el hallazgo y la intervención en terreno según revisión de campo del equipo WES.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