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jc w:val="center"/>
      </w:pPr>
      <w:r>
        <w:rPr>
          <w:rFonts w:ascii="Calibri" w:hAnsi="Calibri"/>
          <w:b/>
          <w:color w:val="0B3D91"/>
          <w:sz w:val="32"/>
        </w:rPr>
        <w:t>ONEPAGE OPERATIVO — RENCA</w:t>
      </w:r>
    </w:p>
    <w:p>
      <w:pPr>
        <w:spacing w:after="40" w:before="0" w:line="252" w:lineRule="auto"/>
        <w:jc w:val="center"/>
      </w:pPr>
      <w:r>
        <w:rPr>
          <w:rFonts w:ascii="Calibri" w:hAnsi="Calibri"/>
          <w:b w:val="0"/>
          <w:color w:val="0D7A6F"/>
          <w:sz w:val="20"/>
        </w:rPr>
        <w:t>Monitoreo WES · Situación reciente, consumos y próximos pasos</w:t>
      </w:r>
    </w:p>
    <w:p>
      <w:pPr>
        <w:spacing w:after="120" w:before="0" w:line="252" w:lineRule="auto"/>
        <w:jc w:val="center"/>
      </w:pPr>
      <w:r>
        <w:rPr>
          <w:rFonts w:ascii="Calibri" w:hAnsi="Calibri"/>
          <w:b w:val="0"/>
          <w:color w:val="4A4A4A"/>
          <w:sz w:val="16"/>
        </w:rPr>
        <w:t>Corte de datos: 01-jul-2026 → 12-aug-2026  ·  Generado: 12-08-2026 21:07</w:t>
      </w:r>
    </w:p>
    <w:p>
      <w:pPr>
        <w:spacing w:after="60" w:before="40" w:line="252" w:lineRule="auto"/>
        <w:jc w:val="left"/>
      </w:pPr>
      <w:r>
        <w:rPr>
          <w:rFonts w:ascii="Calibri" w:hAnsi="Calibri"/>
          <w:b/>
          <w:color w:val="0B3D91"/>
          <w:sz w:val="22"/>
        </w:rPr>
        <w:t>1. Qué ha pasado en el último tiempo</w:t>
      </w:r>
    </w:p>
    <w:p>
      <w:pPr>
        <w:spacing w:after="60" w:before="0" w:line="252" w:lineRule="auto"/>
        <w:jc w:val="left"/>
      </w:pPr>
      <w:r>
        <w:rPr>
          <w:rFonts w:ascii="Calibri" w:hAnsi="Calibri"/>
          <w:b w:val="0"/>
          <w:color w:val="1A1A1A"/>
          <w:sz w:val="18"/>
        </w:rPr>
        <w:t>Los colegios de Renca mantuvieron el régimen de ahorro con control nocturno WES durante el periodo escolar hasta fines de julio. Hace aproximadamente dos semanas, en el ICCO (Colegio ICCO Renca) se activó la llave de emergencia, dejando el recinto sin corte nocturno mientras se resolvía la situación hidráulica.</w:t>
      </w:r>
    </w:p>
    <w:p>
      <w:pPr>
        <w:spacing w:after="60" w:before="0" w:line="252" w:lineRule="auto"/>
        <w:jc w:val="left"/>
      </w:pPr>
      <w:r>
        <w:rPr>
          <w:rFonts w:ascii="Calibri" w:hAnsi="Calibri"/>
          <w:b w:val="0"/>
          <w:color w:val="1A1A1A"/>
          <w:sz w:val="18"/>
        </w:rPr>
        <w:t>Esta semana el equipo WES dio soporte a la partida de las bombas del ICCO. Las bombas partieron correctamente gracias al trabajo del equipo de mantención de Celebridad, que dejó el sistema operativo. Con ello se cierra el episodio de contingencia hidráulica y se recupera la capacidad de alimentar el establecimiento de forma estable.</w:t>
      </w:r>
    </w:p>
    <w:p>
      <w:pPr>
        <w:spacing w:after="120" w:before="0" w:line="252" w:lineRule="auto"/>
        <w:jc w:val="left"/>
      </w:pPr>
      <w:r>
        <w:rPr>
          <w:rFonts w:ascii="Calibri" w:hAnsi="Calibri"/>
          <w:b w:val="0"/>
          <w:color w:val="1A1A1A"/>
          <w:sz w:val="18"/>
        </w:rPr>
        <w:t>Próxima semana —a más tardar el lunes— se inicia la auditoría del mes de agosto, para consolidar consumos, control nocturno y rendimiento de cada punto frente a la línea base sin WES.</w:t>
      </w:r>
    </w:p>
    <w:p>
      <w:pPr>
        <w:spacing w:after="60" w:before="0" w:line="252" w:lineRule="auto"/>
        <w:jc w:val="left"/>
      </w:pPr>
      <w:r>
        <w:rPr>
          <w:rFonts w:ascii="Calibri" w:hAnsi="Calibri"/>
          <w:b/>
          <w:color w:val="0B3D91"/>
          <w:sz w:val="22"/>
        </w:rPr>
        <w:t>2. Consumos recientes</w:t>
      </w:r>
    </w:p>
    <w:p>
      <w:pPr>
        <w:spacing w:after="80" w:before="0" w:line="252" w:lineRule="auto"/>
        <w:jc w:val="left"/>
      </w:pPr>
      <w:r>
        <w:rPr>
          <w:rFonts w:ascii="Calibri" w:hAnsi="Calibri"/>
          <w:b w:val="0"/>
          <w:color w:val="1A1A1A"/>
          <w:sz w:val="18"/>
        </w:rPr>
        <w:t>Julio 2026 (mes completo): 2.827,6 m³ agregados en 5 puntos. Agosto 2026 (01–12): 1.263,4 m³. El ICCO concentra el mayor volumen, coherente con la llave de emergencia activa en la segunda quincena de julio y lo que va de agosto.</w:t>
      </w:r>
    </w:p>
    <w:tbl>
      <w:tblPr>
        <w:tblStyle w:val="TableGrid"/>
        <w:tblW w:type="auto" w:w="0"/>
        <w:tblLook w:firstColumn="1" w:firstRow="1" w:lastColumn="0" w:lastRow="0" w:noHBand="0" w:noVBand="1" w:val="04A0"/>
      </w:tblPr>
      <w:tblGrid>
        <w:gridCol w:w="2691"/>
        <w:gridCol w:w="2691"/>
        <w:gridCol w:w="2691"/>
        <w:gridCol w:w="2691"/>
      </w:tblGrid>
      <w:tr>
        <w:tc>
          <w:tcPr>
            <w:tcW w:type="dxa" w:w="2691"/>
            <w:shd w:fill="0B3D91" w:val="clear"/>
          </w:tcPr>
          <w:p>
            <w:r>
              <w:rPr>
                <w:b/>
                <w:color w:val="FFFFFF"/>
                <w:sz w:val="16"/>
              </w:rPr>
              <w:t>Punto</w:t>
            </w:r>
          </w:p>
        </w:tc>
        <w:tc>
          <w:tcPr>
            <w:tcW w:type="dxa" w:w="2691"/>
            <w:shd w:fill="0B3D91" w:val="clear"/>
          </w:tcPr>
          <w:p>
            <w:r>
              <w:rPr>
                <w:b/>
                <w:color w:val="FFFFFF"/>
                <w:sz w:val="16"/>
              </w:rPr>
              <w:t>Julio (m³)</w:t>
            </w:r>
          </w:p>
        </w:tc>
        <w:tc>
          <w:tcPr>
            <w:tcW w:type="dxa" w:w="2691"/>
            <w:shd w:fill="0B3D91" w:val="clear"/>
          </w:tcPr>
          <w:p>
            <w:r>
              <w:rPr>
                <w:b/>
                <w:color w:val="FFFFFF"/>
                <w:sz w:val="16"/>
              </w:rPr>
              <w:t>Ago 1–12 (m³)</w:t>
            </w:r>
          </w:p>
        </w:tc>
        <w:tc>
          <w:tcPr>
            <w:tcW w:type="dxa" w:w="2691"/>
            <w:shd w:fill="0B3D91" w:val="clear"/>
          </w:tcPr>
          <w:p>
            <w:r>
              <w:rPr>
                <w:b/>
                <w:color w:val="FFFFFF"/>
                <w:sz w:val="16"/>
              </w:rPr>
              <w:t>Estado operativo</w:t>
            </w:r>
          </w:p>
        </w:tc>
      </w:tr>
      <w:tr>
        <w:tc>
          <w:tcPr>
            <w:tcW w:type="dxa" w:w="2691"/>
          </w:tcPr>
          <w:p>
            <w:r>
              <w:rPr>
                <w:sz w:val="16"/>
              </w:rPr>
              <w:t>Colegio ICCO Renca</w:t>
            </w:r>
          </w:p>
        </w:tc>
        <w:tc>
          <w:tcPr>
            <w:tcW w:type="dxa" w:w="2691"/>
          </w:tcPr>
          <w:p>
            <w:r>
              <w:rPr>
                <w:sz w:val="16"/>
              </w:rPr>
              <w:t>1.260,3</w:t>
            </w:r>
          </w:p>
        </w:tc>
        <w:tc>
          <w:tcPr>
            <w:tcW w:type="dxa" w:w="2691"/>
          </w:tcPr>
          <w:p>
            <w:r>
              <w:rPr>
                <w:sz w:val="16"/>
              </w:rPr>
              <w:t>658,5</w:t>
            </w:r>
          </w:p>
        </w:tc>
        <w:tc>
          <w:tcPr>
            <w:tcW w:type="dxa" w:w="2691"/>
          </w:tcPr>
          <w:p>
            <w:r>
              <w:rPr>
                <w:sz w:val="16"/>
              </w:rPr>
              <w:t>Llave emergencia · bombas OK (Celebridad)</w:t>
            </w:r>
          </w:p>
        </w:tc>
      </w:tr>
      <w:tr>
        <w:tc>
          <w:tcPr>
            <w:tcW w:type="dxa" w:w="2691"/>
          </w:tcPr>
          <w:p>
            <w:r>
              <w:rPr>
                <w:sz w:val="16"/>
              </w:rPr>
              <w:t>Piscina Municipal</w:t>
            </w:r>
          </w:p>
        </w:tc>
        <w:tc>
          <w:tcPr>
            <w:tcW w:type="dxa" w:w="2691"/>
          </w:tcPr>
          <w:p>
            <w:r>
              <w:rPr>
                <w:sz w:val="16"/>
              </w:rPr>
              <w:t>846,1</w:t>
            </w:r>
          </w:p>
        </w:tc>
        <w:tc>
          <w:tcPr>
            <w:tcW w:type="dxa" w:w="2691"/>
          </w:tcPr>
          <w:p>
            <w:r>
              <w:rPr>
                <w:sz w:val="16"/>
              </w:rPr>
              <w:t>297,7</w:t>
            </w:r>
          </w:p>
        </w:tc>
        <w:tc>
          <w:tcPr>
            <w:tcW w:type="dxa" w:w="2691"/>
          </w:tcPr>
          <w:p>
            <w:r>
              <w:rPr>
                <w:sz w:val="16"/>
              </w:rPr>
              <w:t>Control nocturno activo</w:t>
            </w:r>
          </w:p>
        </w:tc>
      </w:tr>
      <w:tr>
        <w:tc>
          <w:tcPr>
            <w:tcW w:type="dxa" w:w="2691"/>
          </w:tcPr>
          <w:p>
            <w:r>
              <w:rPr>
                <w:sz w:val="16"/>
              </w:rPr>
              <w:t>Cumbre de cóndores pte.</w:t>
            </w:r>
          </w:p>
        </w:tc>
        <w:tc>
          <w:tcPr>
            <w:tcW w:type="dxa" w:w="2691"/>
          </w:tcPr>
          <w:p>
            <w:r>
              <w:rPr>
                <w:sz w:val="16"/>
              </w:rPr>
              <w:t>320,0</w:t>
            </w:r>
          </w:p>
        </w:tc>
        <w:tc>
          <w:tcPr>
            <w:tcW w:type="dxa" w:w="2691"/>
          </w:tcPr>
          <w:p>
            <w:r>
              <w:rPr>
                <w:sz w:val="16"/>
              </w:rPr>
              <w:t>135,5</w:t>
            </w:r>
          </w:p>
        </w:tc>
        <w:tc>
          <w:tcPr>
            <w:tcW w:type="dxa" w:w="2691"/>
          </w:tcPr>
          <w:p>
            <w:r>
              <w:rPr>
                <w:sz w:val="16"/>
              </w:rPr>
              <w:t>Operativo sin novedades</w:t>
            </w:r>
          </w:p>
        </w:tc>
      </w:tr>
      <w:tr>
        <w:tc>
          <w:tcPr>
            <w:tcW w:type="dxa" w:w="2691"/>
          </w:tcPr>
          <w:p>
            <w:r>
              <w:rPr>
                <w:sz w:val="16"/>
              </w:rPr>
              <w:t>Gimnasio</w:t>
            </w:r>
          </w:p>
        </w:tc>
        <w:tc>
          <w:tcPr>
            <w:tcW w:type="dxa" w:w="2691"/>
          </w:tcPr>
          <w:p>
            <w:r>
              <w:rPr>
                <w:sz w:val="16"/>
              </w:rPr>
              <w:t>293,7</w:t>
            </w:r>
          </w:p>
        </w:tc>
        <w:tc>
          <w:tcPr>
            <w:tcW w:type="dxa" w:w="2691"/>
          </w:tcPr>
          <w:p>
            <w:r>
              <w:rPr>
                <w:sz w:val="16"/>
              </w:rPr>
              <w:t>119,5</w:t>
            </w:r>
          </w:p>
        </w:tc>
        <w:tc>
          <w:tcPr>
            <w:tcW w:type="dxa" w:w="2691"/>
          </w:tcPr>
          <w:p>
            <w:r>
              <w:rPr>
                <w:sz w:val="16"/>
              </w:rPr>
              <w:t>Funcionando bien</w:t>
            </w:r>
          </w:p>
        </w:tc>
      </w:tr>
      <w:tr>
        <w:tc>
          <w:tcPr>
            <w:tcW w:type="dxa" w:w="2691"/>
          </w:tcPr>
          <w:p>
            <w:r>
              <w:rPr>
                <w:sz w:val="16"/>
              </w:rPr>
              <w:t>Esc. Lo Velásquez</w:t>
            </w:r>
          </w:p>
        </w:tc>
        <w:tc>
          <w:tcPr>
            <w:tcW w:type="dxa" w:w="2691"/>
          </w:tcPr>
          <w:p>
            <w:r>
              <w:rPr>
                <w:sz w:val="16"/>
              </w:rPr>
              <w:t>107,5</w:t>
            </w:r>
          </w:p>
        </w:tc>
        <w:tc>
          <w:tcPr>
            <w:tcW w:type="dxa" w:w="2691"/>
          </w:tcPr>
          <w:p>
            <w:r>
              <w:rPr>
                <w:sz w:val="16"/>
              </w:rPr>
              <w:t>52,1</w:t>
            </w:r>
          </w:p>
        </w:tc>
        <w:tc>
          <w:tcPr>
            <w:tcW w:type="dxa" w:w="2691"/>
          </w:tcPr>
          <w:p>
            <w:r>
              <w:rPr>
                <w:sz w:val="16"/>
              </w:rPr>
              <w:t>Control nocturno · proceso auto. activo</w:t>
            </w:r>
          </w:p>
        </w:tc>
      </w:tr>
      <w:tr>
        <w:tc>
          <w:tcPr>
            <w:tcW w:type="dxa" w:w="2691"/>
            <w:shd w:fill="E8EEF7" w:val="clear"/>
          </w:tcPr>
          <w:p>
            <w:r>
              <w:rPr>
                <w:b/>
                <w:sz w:val="16"/>
              </w:rPr>
              <w:t>TOTAL</w:t>
            </w:r>
          </w:p>
        </w:tc>
        <w:tc>
          <w:tcPr>
            <w:tcW w:type="dxa" w:w="2691"/>
            <w:shd w:fill="E8EEF7" w:val="clear"/>
          </w:tcPr>
          <w:p>
            <w:r>
              <w:rPr>
                <w:b/>
                <w:sz w:val="16"/>
              </w:rPr>
              <w:t>2.827,6</w:t>
            </w:r>
          </w:p>
        </w:tc>
        <w:tc>
          <w:tcPr>
            <w:tcW w:type="dxa" w:w="2691"/>
            <w:shd w:fill="E8EEF7" w:val="clear"/>
          </w:tcPr>
          <w:p>
            <w:r>
              <w:rPr>
                <w:b/>
                <w:sz w:val="16"/>
              </w:rPr>
              <w:t>1.263,4</w:t>
            </w:r>
          </w:p>
        </w:tc>
        <w:tc>
          <w:tcPr>
            <w:tcW w:type="dxa" w:w="2691"/>
            <w:shd w:fill="E8EEF7" w:val="clear"/>
          </w:tcPr>
          <w:p>
            <w:r>
              <w:rPr>
                <w:b/>
                <w:sz w:val="16"/>
              </w:rPr>
            </w:r>
          </w:p>
        </w:tc>
      </w:tr>
    </w:tbl>
    <w:p>
      <w:pPr>
        <w:spacing w:after="80"/>
      </w:pPr>
    </w:p>
    <w:p>
      <w:pPr>
        <w:spacing w:after="60" w:before="80" w:line="252" w:lineRule="auto"/>
        <w:jc w:val="left"/>
      </w:pPr>
      <w:r>
        <w:rPr>
          <w:rFonts w:ascii="Calibri" w:hAnsi="Calibri"/>
          <w:b/>
          <w:color w:val="0B3D91"/>
          <w:sz w:val="22"/>
        </w:rPr>
        <w:t>3. Estado por establecimiento</w:t>
      </w:r>
    </w:p>
    <w:p>
      <w:pPr>
        <w:pStyle w:val="ListBullet"/>
        <w:spacing w:after="20" w:before="0"/>
      </w:pPr>
      <w:r>
        <w:rPr>
          <w:rFonts w:ascii="Calibri" w:hAnsi="Calibri"/>
          <w:sz w:val="16"/>
        </w:rPr>
        <w:t>ICCO: llave de emergencia ~hace dos semanas; esta semana bombas partieron con soporte WES + mantención Celebridad. Acta jun-2026: asesoramiento de corte hídrico manual.</w:t>
      </w:r>
    </w:p>
    <w:p>
      <w:pPr>
        <w:pStyle w:val="ListBullet"/>
        <w:spacing w:after="20" w:before="0"/>
      </w:pPr>
      <w:r>
        <w:rPr>
          <w:rFonts w:ascii="Calibri" w:hAnsi="Calibri"/>
          <w:sz w:val="16"/>
        </w:rPr>
        <w:t>Gimnasio: funcionando bien (actas 2026: equipo 100% operativo tras mantenciones).</w:t>
      </w:r>
    </w:p>
    <w:p>
      <w:pPr>
        <w:pStyle w:val="ListBullet"/>
        <w:spacing w:after="20" w:before="0"/>
      </w:pPr>
      <w:r>
        <w:rPr>
          <w:rFonts w:ascii="Calibri" w:hAnsi="Calibri"/>
          <w:sz w:val="16"/>
        </w:rPr>
        <w:t>Piscina Municipal: control nocturno activo; actas documentan programación de horario/presión y un evento de llave de emergencia abierta (jun-2026).</w:t>
      </w:r>
    </w:p>
    <w:p>
      <w:pPr>
        <w:pStyle w:val="ListBullet"/>
        <w:spacing w:after="20" w:before="0"/>
      </w:pPr>
      <w:r>
        <w:rPr>
          <w:rFonts w:ascii="Calibri" w:hAnsi="Calibri"/>
          <w:sz w:val="16"/>
        </w:rPr>
        <w:t>Esc. Lo Velásquez: control nocturno; tiende a cero; días con consumo por llaves abiertas → proceso automático activado.</w:t>
      </w:r>
    </w:p>
    <w:p>
      <w:pPr>
        <w:pStyle w:val="ListBullet"/>
        <w:spacing w:after="20" w:before="0"/>
      </w:pPr>
      <w:r>
        <w:rPr>
          <w:rFonts w:ascii="Calibri" w:hAnsi="Calibri"/>
          <w:sz w:val="16"/>
        </w:rPr>
        <w:t>Cumbre de cóndores: operativo sin problemas (acta: equipo operativo tras chequeo técnico).</w:t>
      </w:r>
    </w:p>
    <w:p>
      <w:pPr>
        <w:spacing w:after="60" w:before="120" w:line="252" w:lineRule="auto"/>
        <w:jc w:val="left"/>
      </w:pPr>
      <w:r>
        <w:rPr>
          <w:rFonts w:ascii="Calibri" w:hAnsi="Calibri"/>
          <w:b/>
          <w:color w:val="0B3D91"/>
          <w:sz w:val="22"/>
        </w:rPr>
        <w:t>4. Ahorro vs antes de operar (auditoría abril 2026)</w:t>
      </w:r>
    </w:p>
    <w:p>
      <w:pPr>
        <w:spacing w:after="60" w:before="0" w:line="252" w:lineRule="auto"/>
        <w:jc w:val="left"/>
      </w:pPr>
      <w:r>
        <w:rPr>
          <w:rFonts w:ascii="Calibri" w:hAnsi="Calibri"/>
          <w:b w:val="0"/>
          <w:color w:val="4A4A4A"/>
          <w:sz w:val="16"/>
        </w:rPr>
        <w:t>Comparación de la semana con control WES (13–19 abr) frente a la semana de referencia sin WES (6–12 abr). Para el Gimnasio se reporta el comparativo de mayo (25–31) vs la misma línea base sin WES de abril, representativo de la operación normal.</w:t>
      </w:r>
    </w:p>
    <w:tbl>
      <w:tblPr>
        <w:tblStyle w:val="TableGrid"/>
        <w:tblW w:type="auto" w:w="0"/>
        <w:tblLook w:firstColumn="1" w:firstRow="1" w:lastColumn="0" w:lastRow="0" w:noHBand="0" w:noVBand="1" w:val="04A0"/>
      </w:tblPr>
      <w:tblGrid>
        <w:gridCol w:w="2691"/>
        <w:gridCol w:w="2691"/>
        <w:gridCol w:w="2691"/>
        <w:gridCol w:w="2691"/>
      </w:tblGrid>
      <w:tr>
        <w:tc>
          <w:tcPr>
            <w:tcW w:type="dxa" w:w="2691"/>
            <w:shd w:fill="0D7A6F" w:val="clear"/>
          </w:tcPr>
          <w:p>
            <w:r>
              <w:rPr>
                <w:b/>
                <w:color w:val="FFFFFF"/>
                <w:sz w:val="16"/>
              </w:rPr>
              <w:t>Punto</w:t>
            </w:r>
          </w:p>
        </w:tc>
        <w:tc>
          <w:tcPr>
            <w:tcW w:type="dxa" w:w="2691"/>
            <w:shd w:fill="0D7A6F" w:val="clear"/>
          </w:tcPr>
          <w:p>
            <w:r>
              <w:rPr>
                <w:b/>
                <w:color w:val="FFFFFF"/>
                <w:sz w:val="16"/>
              </w:rPr>
              <w:t>% ahorro</w:t>
            </w:r>
          </w:p>
        </w:tc>
        <w:tc>
          <w:tcPr>
            <w:tcW w:type="dxa" w:w="2691"/>
            <w:shd w:fill="0D7A6F" w:val="clear"/>
          </w:tcPr>
          <w:p>
            <w:r>
              <w:rPr>
                <w:b/>
                <w:color w:val="FFFFFF"/>
                <w:sz w:val="16"/>
              </w:rPr>
              <w:t>Semana sin WES (m³)</w:t>
            </w:r>
          </w:p>
        </w:tc>
        <w:tc>
          <w:tcPr>
            <w:tcW w:type="dxa" w:w="2691"/>
            <w:shd w:fill="0D7A6F" w:val="clear"/>
          </w:tcPr>
          <w:p>
            <w:r>
              <w:rPr>
                <w:b/>
                <w:color w:val="FFFFFF"/>
                <w:sz w:val="16"/>
              </w:rPr>
              <w:t>Semana con WES (m³)</w:t>
            </w:r>
          </w:p>
        </w:tc>
      </w:tr>
      <w:tr>
        <w:tc>
          <w:tcPr>
            <w:tcW w:type="dxa" w:w="2691"/>
          </w:tcPr>
          <w:p>
            <w:r>
              <w:rPr>
                <w:sz w:val="16"/>
              </w:rPr>
              <w:t>Colegio ICCO Renca</w:t>
            </w:r>
          </w:p>
        </w:tc>
        <w:tc>
          <w:tcPr>
            <w:tcW w:type="dxa" w:w="2691"/>
          </w:tcPr>
          <w:p>
            <w:r>
              <w:rPr>
                <w:sz w:val="16"/>
              </w:rPr>
              <w:t>37,2 %</w:t>
            </w:r>
          </w:p>
        </w:tc>
        <w:tc>
          <w:tcPr>
            <w:tcW w:type="dxa" w:w="2691"/>
          </w:tcPr>
          <w:p>
            <w:r>
              <w:rPr>
                <w:sz w:val="16"/>
              </w:rPr>
              <w:t>341,8</w:t>
            </w:r>
          </w:p>
        </w:tc>
        <w:tc>
          <w:tcPr>
            <w:tcW w:type="dxa" w:w="2691"/>
          </w:tcPr>
          <w:p>
            <w:r>
              <w:rPr>
                <w:sz w:val="16"/>
              </w:rPr>
              <w:t>214,8</w:t>
            </w:r>
          </w:p>
        </w:tc>
      </w:tr>
      <w:tr>
        <w:tc>
          <w:tcPr>
            <w:tcW w:type="dxa" w:w="2691"/>
          </w:tcPr>
          <w:p>
            <w:r>
              <w:rPr>
                <w:sz w:val="16"/>
              </w:rPr>
              <w:t>Esc. Lo Velásquez</w:t>
            </w:r>
          </w:p>
        </w:tc>
        <w:tc>
          <w:tcPr>
            <w:tcW w:type="dxa" w:w="2691"/>
          </w:tcPr>
          <w:p>
            <w:r>
              <w:rPr>
                <w:sz w:val="16"/>
              </w:rPr>
              <w:t>10,1 %</w:t>
            </w:r>
          </w:p>
        </w:tc>
        <w:tc>
          <w:tcPr>
            <w:tcW w:type="dxa" w:w="2691"/>
          </w:tcPr>
          <w:p>
            <w:r>
              <w:rPr>
                <w:sz w:val="16"/>
              </w:rPr>
              <w:t>36,7</w:t>
            </w:r>
          </w:p>
        </w:tc>
        <w:tc>
          <w:tcPr>
            <w:tcW w:type="dxa" w:w="2691"/>
          </w:tcPr>
          <w:p>
            <w:r>
              <w:rPr>
                <w:sz w:val="16"/>
              </w:rPr>
              <w:t>33,0</w:t>
            </w:r>
          </w:p>
        </w:tc>
      </w:tr>
      <w:tr>
        <w:tc>
          <w:tcPr>
            <w:tcW w:type="dxa" w:w="2691"/>
          </w:tcPr>
          <w:p>
            <w:r>
              <w:rPr>
                <w:sz w:val="16"/>
              </w:rPr>
              <w:t>Piscina Municipal</w:t>
            </w:r>
          </w:p>
        </w:tc>
        <w:tc>
          <w:tcPr>
            <w:tcW w:type="dxa" w:w="2691"/>
          </w:tcPr>
          <w:p>
            <w:r>
              <w:rPr>
                <w:sz w:val="16"/>
              </w:rPr>
              <w:t>57,4 %</w:t>
            </w:r>
          </w:p>
        </w:tc>
        <w:tc>
          <w:tcPr>
            <w:tcW w:type="dxa" w:w="2691"/>
          </w:tcPr>
          <w:p>
            <w:r>
              <w:rPr>
                <w:sz w:val="16"/>
              </w:rPr>
              <w:t>698,7</w:t>
            </w:r>
          </w:p>
        </w:tc>
        <w:tc>
          <w:tcPr>
            <w:tcW w:type="dxa" w:w="2691"/>
          </w:tcPr>
          <w:p>
            <w:r>
              <w:rPr>
                <w:sz w:val="16"/>
              </w:rPr>
              <w:t>297,8</w:t>
            </w:r>
          </w:p>
        </w:tc>
      </w:tr>
      <w:tr>
        <w:tc>
          <w:tcPr>
            <w:tcW w:type="dxa" w:w="2691"/>
          </w:tcPr>
          <w:p>
            <w:r>
              <w:rPr>
                <w:sz w:val="16"/>
              </w:rPr>
              <w:t>Gimnasio (mayo vs sin WES abr)</w:t>
            </w:r>
          </w:p>
        </w:tc>
        <w:tc>
          <w:tcPr>
            <w:tcW w:type="dxa" w:w="2691"/>
          </w:tcPr>
          <w:p>
            <w:r>
              <w:rPr>
                <w:sz w:val="16"/>
              </w:rPr>
              <w:t>96,5 %</w:t>
            </w:r>
          </w:p>
        </w:tc>
        <w:tc>
          <w:tcPr>
            <w:tcW w:type="dxa" w:w="2691"/>
          </w:tcPr>
          <w:p>
            <w:r>
              <w:rPr>
                <w:sz w:val="16"/>
              </w:rPr>
              <w:t>470,2</w:t>
            </w:r>
          </w:p>
        </w:tc>
        <w:tc>
          <w:tcPr>
            <w:tcW w:type="dxa" w:w="2691"/>
          </w:tcPr>
          <w:p>
            <w:r>
              <w:rPr>
                <w:sz w:val="16"/>
              </w:rPr>
              <w:t>16,4</w:t>
            </w:r>
          </w:p>
        </w:tc>
      </w:tr>
      <w:tr>
        <w:tc>
          <w:tcPr>
            <w:tcW w:type="dxa" w:w="2691"/>
          </w:tcPr>
          <w:p>
            <w:r>
              <w:rPr>
                <w:sz w:val="16"/>
              </w:rPr>
              <w:t>Cumbre de cóndores pte.</w:t>
            </w:r>
          </w:p>
        </w:tc>
        <w:tc>
          <w:tcPr>
            <w:tcW w:type="dxa" w:w="2691"/>
          </w:tcPr>
          <w:p>
            <w:r>
              <w:rPr>
                <w:sz w:val="16"/>
              </w:rPr>
              <w:t>6,2 %</w:t>
            </w:r>
          </w:p>
        </w:tc>
        <w:tc>
          <w:tcPr>
            <w:tcW w:type="dxa" w:w="2691"/>
          </w:tcPr>
          <w:p>
            <w:r>
              <w:rPr>
                <w:sz w:val="16"/>
              </w:rPr>
              <w:t>51,6</w:t>
            </w:r>
          </w:p>
        </w:tc>
        <w:tc>
          <w:tcPr>
            <w:tcW w:type="dxa" w:w="2691"/>
          </w:tcPr>
          <w:p>
            <w:r>
              <w:rPr>
                <w:sz w:val="16"/>
              </w:rPr>
              <w:t>48,4</w:t>
            </w:r>
          </w:p>
        </w:tc>
      </w:tr>
    </w:tbl>
    <w:p>
      <w:pPr>
        <w:spacing w:after="80" w:before="80" w:line="252" w:lineRule="auto"/>
        <w:jc w:val="left"/>
      </w:pPr>
      <w:r>
        <w:rPr>
          <w:rFonts w:ascii="Calibri" w:hAnsi="Calibri"/>
          <w:b w:val="0"/>
          <w:color w:val="1A1A1A"/>
          <w:sz w:val="17"/>
        </w:rPr>
        <w:t>Lectura: con el sistema operando, Piscina e ICCO concentran el mayor rendimiento de ahorro (57 % y 37 %). Lo Velásquez ahorra ~10 % y además suele caer a cero en noche. Cóndores aporta un ahorro moderado (~6 %) con operación estable. El Gimnasio, en régimen normal, muestra un ahorro muy alto respecto a la línea base previa.</w:t>
      </w:r>
    </w:p>
    <w:p>
      <w:pPr>
        <w:spacing w:after="40" w:before="0" w:line="252" w:lineRule="auto"/>
        <w:jc w:val="left"/>
      </w:pPr>
      <w:r>
        <w:rPr>
          <w:rFonts w:ascii="Calibri" w:hAnsi="Calibri"/>
          <w:b/>
          <w:color w:val="0B3D91"/>
          <w:sz w:val="22"/>
        </w:rPr>
        <w:t>5. Actas de mantención (Drive: Actas de Mantencion / RENCA / 2026 + Corporación)</w:t>
      </w:r>
    </w:p>
    <w:p>
      <w:pPr>
        <w:spacing w:after="40" w:before="0" w:line="252" w:lineRule="auto"/>
        <w:jc w:val="left"/>
      </w:pPr>
      <w:r>
        <w:rPr>
          <w:rFonts w:ascii="Calibri" w:hAnsi="Calibri"/>
          <w:b w:val="0"/>
          <w:color w:val="4A4A4A"/>
          <w:sz w:val="15"/>
        </w:rPr>
        <w:t>Revisión de formularios WES cargados en la carpeta indicada (escaneos). Hito reciente ICCO (llave emergencia ~2 semanas + bombas Celebridad esta semana): aún no figura acta formal de julio/agosto en esa carpeta; se reporta por seguimiento operativo.</w:t>
      </w:r>
    </w:p>
    <w:tbl>
      <w:tblPr>
        <w:tblStyle w:val="TableGrid"/>
        <w:tblW w:type="auto" w:w="0"/>
        <w:tblLook w:firstColumn="1" w:firstRow="1" w:lastColumn="0" w:lastRow="0" w:noHBand="0" w:noVBand="1" w:val="04A0"/>
      </w:tblPr>
      <w:tblGrid>
        <w:gridCol w:w="3589"/>
        <w:gridCol w:w="3589"/>
        <w:gridCol w:w="3589"/>
      </w:tblGrid>
      <w:tr>
        <w:tc>
          <w:tcPr>
            <w:tcW w:type="dxa" w:w="3589"/>
            <w:shd w:fill="0B3D91" w:val="clear"/>
          </w:tcPr>
          <w:p>
            <w:r>
              <w:rPr>
                <w:b/>
                <w:color w:val="FFFFFF"/>
                <w:sz w:val="15"/>
              </w:rPr>
              <w:t>Fecha / Acta</w:t>
            </w:r>
          </w:p>
        </w:tc>
        <w:tc>
          <w:tcPr>
            <w:tcW w:type="dxa" w:w="3589"/>
            <w:shd w:fill="0B3D91" w:val="clear"/>
          </w:tcPr>
          <w:p>
            <w:r>
              <w:rPr>
                <w:b/>
                <w:color w:val="FFFFFF"/>
                <w:sz w:val="15"/>
              </w:rPr>
              <w:t>Punto</w:t>
            </w:r>
          </w:p>
        </w:tc>
        <w:tc>
          <w:tcPr>
            <w:tcW w:type="dxa" w:w="3589"/>
            <w:shd w:fill="0B3D91" w:val="clear"/>
          </w:tcPr>
          <w:p>
            <w:r>
              <w:rPr>
                <w:b/>
                <w:color w:val="FFFFFF"/>
                <w:sz w:val="15"/>
              </w:rPr>
              <w:t>Hallazgo (observaciones)</w:t>
            </w:r>
          </w:p>
        </w:tc>
      </w:tr>
      <w:tr>
        <w:tc>
          <w:tcPr>
            <w:tcW w:type="dxa" w:w="3589"/>
          </w:tcPr>
          <w:p>
            <w:r>
              <w:rPr>
                <w:sz w:val="14"/>
              </w:rPr>
              <w:t>20-06-2026 · N°2221</w:t>
            </w:r>
          </w:p>
        </w:tc>
        <w:tc>
          <w:tcPr>
            <w:tcW w:type="dxa" w:w="3589"/>
          </w:tcPr>
          <w:p>
            <w:r>
              <w:rPr>
                <w:sz w:val="14"/>
              </w:rPr>
              <w:t>ICCO</w:t>
            </w:r>
          </w:p>
        </w:tc>
        <w:tc>
          <w:tcPr>
            <w:tcW w:type="dxa" w:w="3589"/>
          </w:tcPr>
          <w:p>
            <w:r>
              <w:rPr>
                <w:sz w:val="14"/>
              </w:rPr>
              <w:t>Asesoramiento para corte hídrico MANUAL.</w:t>
            </w:r>
          </w:p>
        </w:tc>
      </w:tr>
      <w:tr>
        <w:tc>
          <w:tcPr>
            <w:tcW w:type="dxa" w:w="3589"/>
          </w:tcPr>
          <w:p>
            <w:r>
              <w:rPr>
                <w:sz w:val="14"/>
              </w:rPr>
              <w:t>25-06-2026 · N°2216</w:t>
            </w:r>
          </w:p>
        </w:tc>
        <w:tc>
          <w:tcPr>
            <w:tcW w:type="dxa" w:w="3589"/>
          </w:tcPr>
          <w:p>
            <w:r>
              <w:rPr>
                <w:sz w:val="14"/>
              </w:rPr>
              <w:t>Piscina</w:t>
            </w:r>
          </w:p>
        </w:tc>
        <w:tc>
          <w:tcPr>
            <w:tcW w:type="dxa" w:w="3589"/>
          </w:tcPr>
          <w:p>
            <w:r>
              <w:rPr>
                <w:sz w:val="14"/>
              </w:rPr>
              <w:t>Llave emergencia abierta desde 19-06; fuga ~2,45 m³/h (ruido eléctrico).</w:t>
            </w:r>
          </w:p>
        </w:tc>
      </w:tr>
      <w:tr>
        <w:tc>
          <w:tcPr>
            <w:tcW w:type="dxa" w:w="3589"/>
          </w:tcPr>
          <w:p>
            <w:r>
              <w:rPr>
                <w:sz w:val="14"/>
              </w:rPr>
              <w:t>13-05-2026 · N°2183</w:t>
            </w:r>
          </w:p>
        </w:tc>
        <w:tc>
          <w:tcPr>
            <w:tcW w:type="dxa" w:w="3589"/>
          </w:tcPr>
          <w:p>
            <w:r>
              <w:rPr>
                <w:sz w:val="14"/>
              </w:rPr>
              <w:t>Gimnasio</w:t>
            </w:r>
          </w:p>
        </w:tc>
        <w:tc>
          <w:tcPr>
            <w:tcW w:type="dxa" w:w="3589"/>
          </w:tcPr>
          <w:p>
            <w:r>
              <w:rPr>
                <w:sz w:val="14"/>
              </w:rPr>
              <w:t>Automático caído; levantado. Equipo 100% operativo.</w:t>
            </w:r>
          </w:p>
        </w:tc>
      </w:tr>
      <w:tr>
        <w:tc>
          <w:tcPr>
            <w:tcW w:type="dxa" w:w="3589"/>
          </w:tcPr>
          <w:p>
            <w:r>
              <w:rPr>
                <w:sz w:val="14"/>
              </w:rPr>
              <w:t>21-04-2026 · N°2149</w:t>
            </w:r>
          </w:p>
        </w:tc>
        <w:tc>
          <w:tcPr>
            <w:tcW w:type="dxa" w:w="3589"/>
          </w:tcPr>
          <w:p>
            <w:r>
              <w:rPr>
                <w:sz w:val="14"/>
              </w:rPr>
              <w:t>Gimnasio</w:t>
            </w:r>
          </w:p>
        </w:tc>
        <w:tc>
          <w:tcPr>
            <w:tcW w:type="dxa" w:w="3589"/>
          </w:tcPr>
          <w:p>
            <w:r>
              <w:rPr>
                <w:sz w:val="14"/>
              </w:rPr>
              <w:t>Reemplazo equipo + transductores. 100% operativo.</w:t>
            </w:r>
          </w:p>
        </w:tc>
      </w:tr>
      <w:tr>
        <w:tc>
          <w:tcPr>
            <w:tcW w:type="dxa" w:w="3589"/>
          </w:tcPr>
          <w:p>
            <w:r>
              <w:rPr>
                <w:sz w:val="14"/>
              </w:rPr>
              <w:t>06-04-2026</w:t>
            </w:r>
          </w:p>
        </w:tc>
        <w:tc>
          <w:tcPr>
            <w:tcW w:type="dxa" w:w="3589"/>
          </w:tcPr>
          <w:p>
            <w:r>
              <w:rPr>
                <w:sz w:val="14"/>
              </w:rPr>
              <w:t>Gimnasio</w:t>
            </w:r>
          </w:p>
        </w:tc>
        <w:tc>
          <w:tcPr>
            <w:tcW w:type="dxa" w:w="3589"/>
          </w:tcPr>
          <w:p>
            <w:r>
              <w:rPr>
                <w:sz w:val="14"/>
              </w:rPr>
              <w:t>Ruido eléctrico → filtro instalado para asegurar horario.</w:t>
            </w:r>
          </w:p>
        </w:tc>
      </w:tr>
      <w:tr>
        <w:tc>
          <w:tcPr>
            <w:tcW w:type="dxa" w:w="3589"/>
          </w:tcPr>
          <w:p>
            <w:r>
              <w:rPr>
                <w:sz w:val="14"/>
              </w:rPr>
              <w:t>30-01-2026</w:t>
            </w:r>
          </w:p>
        </w:tc>
        <w:tc>
          <w:tcPr>
            <w:tcW w:type="dxa" w:w="3589"/>
          </w:tcPr>
          <w:p>
            <w:r>
              <w:rPr>
                <w:sz w:val="14"/>
              </w:rPr>
              <w:t>Piscina</w:t>
            </w:r>
          </w:p>
        </w:tc>
        <w:tc>
          <w:tcPr>
            <w:tcW w:type="dxa" w:w="3589"/>
          </w:tcPr>
          <w:p>
            <w:r>
              <w:rPr>
                <w:sz w:val="14"/>
              </w:rPr>
              <w:t>Consumo nocturno ~1,3 m³/h; nuevo horario/presión. Operativo.</w:t>
            </w:r>
          </w:p>
        </w:tc>
      </w:tr>
      <w:tr>
        <w:tc>
          <w:tcPr>
            <w:tcW w:type="dxa" w:w="3589"/>
          </w:tcPr>
          <w:p>
            <w:r>
              <w:rPr>
                <w:sz w:val="14"/>
              </w:rPr>
              <w:t>26-05-2026 · N°2198</w:t>
            </w:r>
          </w:p>
        </w:tc>
        <w:tc>
          <w:tcPr>
            <w:tcW w:type="dxa" w:w="3589"/>
          </w:tcPr>
          <w:p>
            <w:r>
              <w:rPr>
                <w:sz w:val="14"/>
              </w:rPr>
              <w:t>Cóndores Ote.</w:t>
            </w:r>
          </w:p>
        </w:tc>
        <w:tc>
          <w:tcPr>
            <w:tcW w:type="dxa" w:w="3589"/>
          </w:tcPr>
          <w:p>
            <w:r>
              <w:rPr>
                <w:sz w:val="14"/>
              </w:rPr>
              <w:t>Chequeo caudalímetro + micro. Equipo operativo.</w:t>
            </w:r>
          </w:p>
        </w:tc>
      </w:tr>
    </w:tbl>
    <w:p>
      <w:pPr>
        <w:spacing w:after="40" w:before="80" w:line="252" w:lineRule="auto"/>
        <w:jc w:val="left"/>
      </w:pPr>
      <w:r>
        <w:rPr>
          <w:rFonts w:ascii="Calibri" w:hAnsi="Calibri"/>
          <w:b/>
          <w:color w:val="0B3D91"/>
          <w:sz w:val="22"/>
        </w:rPr>
        <w:t>6. Próximos pasos</w:t>
      </w:r>
    </w:p>
    <w:p>
      <w:pPr>
        <w:pStyle w:val="ListNumber"/>
        <w:spacing w:after="20"/>
      </w:pPr>
      <w:r>
        <w:rPr>
          <w:sz w:val="17"/>
        </w:rPr>
        <w:t>Lunes próximo (a más tardar): auditoría de agosto — consumos, nocturno y % ahorro por punto.</w:t>
      </w:r>
    </w:p>
    <w:p>
      <w:pPr>
        <w:pStyle w:val="ListNumber"/>
        <w:spacing w:after="20"/>
      </w:pPr>
      <w:r>
        <w:rPr>
          <w:sz w:val="17"/>
        </w:rPr>
        <w:t>ICCO: normalizar llave de emergencia, retomar control nocturno y cargar acta de bombas/Celebridad en Drive.</w:t>
      </w:r>
    </w:p>
    <w:p>
      <w:pPr>
        <w:pStyle w:val="ListNumber"/>
        <w:spacing w:after="20"/>
      </w:pPr>
      <w:r>
        <w:rPr>
          <w:sz w:val="17"/>
        </w:rPr>
        <w:t>Piscina / Lo Velásquez: mantener control nocturno; vigilar llaves abiertas / llave emergencia.</w:t>
      </w:r>
    </w:p>
    <w:p>
      <w:pPr>
        <w:pStyle w:val="ListNumber"/>
        <w:spacing w:after="20"/>
      </w:pPr>
      <w:r>
        <w:rPr>
          <w:sz w:val="17"/>
        </w:rPr>
        <w:t>Gimnasio y Cóndores: seguimiento estable (equipos operativos según actas).</w:t>
      </w:r>
    </w:p>
    <w:p>
      <w:pPr>
        <w:spacing w:after="40" w:before="80" w:line="252" w:lineRule="auto"/>
        <w:jc w:val="center"/>
      </w:pPr>
      <w:r>
        <w:rPr>
          <w:rFonts w:ascii="Calibri" w:hAnsi="Calibri"/>
          <w:b w:val="0"/>
          <w:color w:val="4A4A4A"/>
          <w:sz w:val="14"/>
        </w:rPr>
        <w:t>Fuente consumos: API WES. Ahorros: auditoría abr-2026 (Gimnasio: may-2026). Actas: Drive Actas de Mantencion/RENCA/2026 + Corporación Renca. Tarifa ref. $1.300/m³.</w:t>
      </w:r>
    </w:p>
    <w:sectPr w:rsidR="00FC693F" w:rsidRPr="0006063C" w:rsidSect="00034616">
      <w:headerReference w:type="default" r:id="rId9"/>
      <w:pgSz w:w="12240" w:h="15840"/>
      <w:pgMar w:top="624" w:right="737" w:bottom="56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