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C9A227"/>
          <w:sz w:val="22"/>
        </w:rPr>
        <w:t>WES  ·  Parque Arauco  ·  One-pager</w:t>
      </w:r>
    </w:p>
    <w:p>
      <w:pPr>
        <w:spacing w:after="80"/>
      </w:pPr>
      <w:r>
        <w:rPr>
          <w:rFonts w:ascii="Calibri" w:hAnsi="Calibri"/>
          <w:b/>
          <w:color w:val="0D3B66"/>
          <w:sz w:val="36"/>
        </w:rPr>
        <w:t>Informe de ahorro y propuestas de control</w:t>
      </w:r>
    </w:p>
    <w:p>
      <w:pPr>
        <w:spacing w:after="60" w:before="0" w:line="240" w:lineRule="auto"/>
        <w:jc w:val="both"/>
      </w:pPr>
      <w:r>
        <w:rPr>
          <w:rFonts w:ascii="Calibri" w:hAnsi="Calibri"/>
          <w:b w:val="0"/>
          <w:color w:val="0D3B66"/>
          <w:sz w:val="20"/>
        </w:rPr>
        <w:t>Documento para reunión. Período de datos 01/05/2026 – 08/09/2026. Tarifa de referencia $1.400/m³ (la misma del PPT de 7 malls).</w:t>
      </w:r>
    </w:p>
    <w:p>
      <w:pPr>
        <w:spacing w:after="60" w:before="0" w:line="240" w:lineRule="auto"/>
        <w:jc w:val="both"/>
      </w:pPr>
      <w:r>
        <w:rPr>
          <w:rFonts w:ascii="Calibri" w:hAnsi="Calibri"/>
          <w:b w:val="0"/>
          <w:color w:val="0D3B66"/>
          <w:sz w:val="20"/>
        </w:rPr>
        <w:t>El corte se activa a las 00:30. La noche que se demuestra —y la que tiene que ir a cero— es de 01:00 a 05:00.</w:t>
      </w:r>
    </w:p>
    <w:p>
      <w:pPr>
        <w:spacing w:after="60" w:before="0" w:line="240" w:lineRule="auto"/>
        <w:jc w:val="both"/>
      </w:pPr>
      <w:r>
        <w:rPr>
          <w:rFonts w:ascii="Calibri" w:hAnsi="Calibri"/>
          <w:b w:val="0"/>
          <w:color w:val="0D3B66"/>
          <w:sz w:val="20"/>
        </w:rPr>
        <w:t>Entre 00:00 y 00:30 el medidor todavía registra agua: es el tramo anterior al corte, no consumo de noche.</w:t>
      </w:r>
    </w:p>
    <w:p>
      <w:pPr>
        <w:pStyle w:val="Heading1"/>
      </w:pPr>
      <w:r>
        <w:rPr>
          <w:rFonts w:ascii="Calibri" w:hAnsi="Calibri"/>
          <w:color w:val="0D3B66"/>
        </w:rPr>
        <w:t>Lo que hay que demostrar en la reunión</w:t>
      </w:r>
    </w:p>
    <w:p>
      <w:pPr>
        <w:spacing w:after="60" w:before="0" w:line="240" w:lineRule="auto"/>
        <w:jc w:val="both"/>
      </w:pPr>
      <w:r>
        <w:rPr>
          <w:rFonts w:ascii="Calibri" w:hAnsi="Calibri"/>
          <w:b w:val="0"/>
          <w:color w:val="0D3B66"/>
          <w:sz w:val="20"/>
        </w:rPr>
        <w:t>En este orden:</w:t>
      </w:r>
    </w:p>
    <w:p>
      <w:pPr>
        <w:spacing w:after="100" w:before="0" w:line="240" w:lineRule="auto"/>
        <w:jc w:val="both"/>
      </w:pPr>
      <w:r>
        <w:rPr>
          <w:rFonts w:ascii="Calibri" w:hAnsi="Calibri"/>
          <w:b/>
          <w:color w:val="0D3B66"/>
          <w:sz w:val="20"/>
        </w:rPr>
        <w:t>Ya operativo — Estación y Buenaventura.</w:t>
      </w:r>
      <w:r>
        <w:rPr>
          <w:rFonts w:ascii="Calibri" w:hAnsi="Calibri"/>
          <w:b w:val="0"/>
          <w:color w:val="0D3B66"/>
          <w:sz w:val="20"/>
        </w:rPr>
        <w:t xml:space="preserve"> Estanque Sur bajó el día completo (presostatos 10/06). Estanque Norte y San Ignacio 500 pasaron de consumo nocturno a cero entre 01:00 y 05:00.</w:t>
      </w:r>
    </w:p>
    <w:p>
      <w:pPr>
        <w:spacing w:after="100" w:before="0" w:line="240" w:lineRule="auto"/>
        <w:jc w:val="both"/>
      </w:pPr>
      <w:r>
        <w:rPr>
          <w:rFonts w:ascii="Calibri" w:hAnsi="Calibri"/>
          <w:b/>
          <w:color w:val="0D3B66"/>
          <w:sz w:val="20"/>
        </w:rPr>
        <w:t>A copiar — Quilicura y Kennedy.</w:t>
      </w:r>
      <w:r>
        <w:rPr>
          <w:rFonts w:ascii="Calibri" w:hAnsi="Calibri"/>
          <w:b w:val="0"/>
          <w:color w:val="0D3B66"/>
          <w:sz w:val="20"/>
        </w:rPr>
        <w:t xml:space="preserve"> El mismo corte se propone en Matriz Principal y en Bazar Gourmet. Esa noche hoy no es cero; esa es la proyección.</w:t>
      </w:r>
    </w:p>
    <w:p>
      <w:pPr>
        <w:spacing w:after="100" w:before="0" w:line="240" w:lineRule="auto"/>
        <w:jc w:val="both"/>
      </w:pPr>
      <w:r>
        <w:rPr>
          <w:rFonts w:ascii="Calibri" w:hAnsi="Calibri"/>
          <w:b/>
          <w:color w:val="0D3B66"/>
          <w:sz w:val="20"/>
        </w:rPr>
        <w:t>Pendiente — Maipú.</w:t>
      </w:r>
      <w:r>
        <w:rPr>
          <w:rFonts w:ascii="Calibri" w:hAnsi="Calibri"/>
          <w:b w:val="0"/>
          <w:color w:val="0D3B66"/>
          <w:sz w:val="20"/>
        </w:rPr>
        <w:t xml:space="preserve"> No hay on/off que sumar todavía. Estamos a la espera de concretar la relocalización de Pasillo 1 Arrow y la instalación del punto 6 (Pasillo 2), según la propuesta enviada a Don Miguel.</w:t>
      </w:r>
    </w:p>
    <w:p>
      <w:pPr>
        <w:pStyle w:val="Heading1"/>
      </w:pPr>
      <w:r>
        <w:rPr>
          <w:rFonts w:ascii="Calibri" w:hAnsi="Calibri"/>
          <w:color w:val="0D3B66"/>
        </w:rPr>
        <w:t>Resumen ejecutivo (m³/mes y $)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0D3B6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Recinto / acción</w:t>
            </w:r>
          </w:p>
        </w:tc>
        <w:tc>
          <w:tcPr>
            <w:tcW w:type="dxa" w:w="1729"/>
            <w:shd w:fill="0D3B6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1729"/>
            <w:shd w:fill="0D3B6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Base</w:t>
            </w:r>
          </w:p>
        </w:tc>
        <w:tc>
          <w:tcPr>
            <w:tcW w:type="dxa" w:w="1729"/>
            <w:shd w:fill="0D3B6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Ahorro m³/mes</w:t>
            </w:r>
          </w:p>
        </w:tc>
        <w:tc>
          <w:tcPr>
            <w:tcW w:type="dxa" w:w="1729"/>
            <w:shd w:fill="0D3B6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$/mes</w:t>
            </w:r>
          </w:p>
        </w:tc>
        <w:tc>
          <w:tcPr>
            <w:tcW w:type="dxa" w:w="1729"/>
            <w:shd w:fill="0D3B66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Acumulado a la fecha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/>
                <w:color w:val="0D3B66"/>
                <w:sz w:val="20"/>
              </w:rPr>
              <w:t>MAE Estanque Sur — presostatos 10/06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Logrado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88 → 28 m³/día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1.826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$2.555.700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5.416 m³ ($7.581.910)</w:t>
            </w:r>
          </w:p>
        </w:tc>
      </w:tr>
      <w:tr>
        <w:tc>
          <w:tcPr>
            <w:tcW w:type="dxa" w:w="1729"/>
            <w:shd w:fill="F4F7FA" w:val="clear"/>
          </w:tcPr>
          <w:p>
            <w:r/>
            <w:r>
              <w:rPr>
                <w:rFonts w:ascii="Calibri" w:hAnsi="Calibri"/>
                <w:b/>
                <w:color w:val="0D3B66"/>
                <w:sz w:val="20"/>
              </w:rPr>
              <w:t>MAE Estanque Norte — corte 00:30 (01:00–05:00)</w:t>
            </w:r>
          </w:p>
        </w:tc>
        <w:tc>
          <w:tcPr>
            <w:tcW w:type="dxa" w:w="1729"/>
            <w:shd w:fill="F4F7FA" w:val="clear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Logrado (a cero)</w:t>
            </w:r>
          </w:p>
        </w:tc>
        <w:tc>
          <w:tcPr>
            <w:tcW w:type="dxa" w:w="1729"/>
            <w:shd w:fill="F4F7FA" w:val="clear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3,2 → 0,1 m³</w:t>
            </w:r>
          </w:p>
        </w:tc>
        <w:tc>
          <w:tcPr>
            <w:tcW w:type="dxa" w:w="1729"/>
            <w:shd w:fill="F4F7FA" w:val="clear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93</w:t>
            </w:r>
          </w:p>
        </w:tc>
        <w:tc>
          <w:tcPr>
            <w:tcW w:type="dxa" w:w="1729"/>
            <w:shd w:fill="F4F7FA" w:val="clear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$129.780</w:t>
            </w:r>
          </w:p>
        </w:tc>
        <w:tc>
          <w:tcPr>
            <w:tcW w:type="dxa" w:w="1729"/>
            <w:shd w:fill="F4F7FA" w:val="clear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108 m³ ($151.410)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/>
                <w:color w:val="0D3B66"/>
                <w:sz w:val="20"/>
              </w:rPr>
              <w:t>MAE Pizza Hut — corte 01/07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Operativo (no suma $)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01:00–05:00 ya en cero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—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—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Control puesto; el día alto es ocupación de local</w:t>
            </w:r>
          </w:p>
        </w:tc>
      </w:tr>
      <w:tr>
        <w:tc>
          <w:tcPr>
            <w:tcW w:type="dxa" w:w="1729"/>
            <w:shd w:fill="F4F7FA" w:val="clear"/>
          </w:tcPr>
          <w:p>
            <w:r/>
            <w:r>
              <w:rPr>
                <w:rFonts w:ascii="Calibri" w:hAnsi="Calibri"/>
                <w:b/>
                <w:color w:val="0D3B66"/>
                <w:sz w:val="20"/>
              </w:rPr>
              <w:t>Buenaventura SI500 — corte 00:30 (01:00–05:00)</w:t>
            </w:r>
          </w:p>
        </w:tc>
        <w:tc>
          <w:tcPr>
            <w:tcW w:type="dxa" w:w="1729"/>
            <w:shd w:fill="F4F7FA" w:val="clear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Logrado (a cero)</w:t>
            </w:r>
          </w:p>
        </w:tc>
        <w:tc>
          <w:tcPr>
            <w:tcW w:type="dxa" w:w="1729"/>
            <w:shd w:fill="F4F7FA" w:val="clear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20,2 → 0 m³</w:t>
            </w:r>
          </w:p>
        </w:tc>
        <w:tc>
          <w:tcPr>
            <w:tcW w:type="dxa" w:w="1729"/>
            <w:shd w:fill="F4F7FA" w:val="clear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607</w:t>
            </w:r>
          </w:p>
        </w:tc>
        <w:tc>
          <w:tcPr>
            <w:tcW w:type="dxa" w:w="1729"/>
            <w:shd w:fill="F4F7FA" w:val="clear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$850.080</w:t>
            </w:r>
          </w:p>
        </w:tc>
        <w:tc>
          <w:tcPr>
            <w:tcW w:type="dxa" w:w="1729"/>
            <w:shd w:fill="F4F7FA" w:val="clear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1.093 m³ ($1.530.144)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/>
                <w:color w:val="0D3B66"/>
                <w:sz w:val="20"/>
              </w:rPr>
              <w:t>Quilicura Matriz — corte 00:30 (01:00–05:00)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Propuesta (a cero)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noche típica 13,2 m³ → 0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395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$553.560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Aún no operativo</w:t>
            </w:r>
          </w:p>
        </w:tc>
      </w:tr>
      <w:tr>
        <w:tc>
          <w:tcPr>
            <w:tcW w:type="dxa" w:w="1729"/>
            <w:shd w:fill="F4F7FA" w:val="clear"/>
          </w:tcPr>
          <w:p>
            <w:r/>
            <w:r>
              <w:rPr>
                <w:rFonts w:ascii="Calibri" w:hAnsi="Calibri"/>
                <w:b/>
                <w:color w:val="0D3B66"/>
                <w:sz w:val="20"/>
              </w:rPr>
              <w:t>Kennedy Bazar Gourmet — corte 00:30 (01:00–05:00)</w:t>
            </w:r>
          </w:p>
        </w:tc>
        <w:tc>
          <w:tcPr>
            <w:tcW w:type="dxa" w:w="1729"/>
            <w:shd w:fill="F4F7FA" w:val="clear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Propuesta (a cero)</w:t>
            </w:r>
          </w:p>
        </w:tc>
        <w:tc>
          <w:tcPr>
            <w:tcW w:type="dxa" w:w="1729"/>
            <w:shd w:fill="F4F7FA" w:val="clear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noche típica 19 m³ → 0</w:t>
            </w:r>
          </w:p>
        </w:tc>
        <w:tc>
          <w:tcPr>
            <w:tcW w:type="dxa" w:w="1729"/>
            <w:shd w:fill="F4F7FA" w:val="clear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570</w:t>
            </w:r>
          </w:p>
        </w:tc>
        <w:tc>
          <w:tcPr>
            <w:tcW w:type="dxa" w:w="1729"/>
            <w:shd w:fill="F4F7FA" w:val="clear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$798.000</w:t>
            </w:r>
          </w:p>
        </w:tc>
        <w:tc>
          <w:tcPr>
            <w:tcW w:type="dxa" w:w="1729"/>
            <w:shd w:fill="F4F7FA" w:val="clear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Aún no operativo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/>
                <w:color w:val="0D3B66"/>
                <w:sz w:val="20"/>
              </w:rPr>
              <w:t>Total logrado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Operativo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MAE + Buenaventura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2.525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$3.535.560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6.617 m³ ($9.263.464)</w:t>
            </w:r>
          </w:p>
        </w:tc>
      </w:tr>
      <w:tr>
        <w:tc>
          <w:tcPr>
            <w:tcW w:type="dxa" w:w="1729"/>
            <w:shd w:fill="F4F7FA" w:val="clear"/>
          </w:tcPr>
          <w:p>
            <w:r/>
            <w:r>
              <w:rPr>
                <w:rFonts w:ascii="Calibri" w:hAnsi="Calibri"/>
                <w:b/>
                <w:color w:val="0D3B66"/>
                <w:sz w:val="20"/>
              </w:rPr>
              <w:t>Total si se aprueban MAQ + PAK</w:t>
            </w:r>
          </w:p>
        </w:tc>
        <w:tc>
          <w:tcPr>
            <w:tcW w:type="dxa" w:w="1729"/>
            <w:shd w:fill="F4F7FA" w:val="clear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Logrado + propuesto</w:t>
            </w:r>
          </w:p>
        </w:tc>
        <w:tc>
          <w:tcPr>
            <w:tcW w:type="dxa" w:w="1729"/>
            <w:shd w:fill="F4F7FA" w:val="clear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Cuatro recintos</w:t>
            </w:r>
          </w:p>
        </w:tc>
        <w:tc>
          <w:tcPr>
            <w:tcW w:type="dxa" w:w="1729"/>
            <w:shd w:fill="F4F7FA" w:val="clear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3.491</w:t>
            </w:r>
          </w:p>
        </w:tc>
        <w:tc>
          <w:tcPr>
            <w:tcW w:type="dxa" w:w="1729"/>
            <w:shd w:fill="F4F7FA" w:val="clear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$4.887.120</w:t>
            </w:r>
          </w:p>
        </w:tc>
        <w:tc>
          <w:tcPr>
            <w:tcW w:type="dxa" w:w="1729"/>
            <w:shd w:fill="F4F7FA" w:val="clear"/>
          </w:tcPr>
          <w:p>
            <w:r/>
            <w:r>
              <w:rPr>
                <w:rFonts w:ascii="Calibri" w:hAnsi="Calibri"/>
                <w:b w:val="0"/>
                <w:color w:val="0D3B66"/>
                <w:sz w:val="20"/>
              </w:rPr>
              <w:t>Proyección a 30 días de operación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23560" cy="16067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horro_mensual_barr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606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/>
          <w:b w:val="0"/>
          <w:color w:val="505050"/>
          <w:sz w:val="16"/>
        </w:rPr>
        <w:t>Verde = ya operativo (01:00–05:00 a cero). Dorado = propuesta, misma ventana a cero.</w:t>
      </w:r>
    </w:p>
    <w:p>
      <w:pPr>
        <w:spacing w:after="40" w:before="0" w:line="240" w:lineRule="auto"/>
        <w:jc w:val="both"/>
      </w:pPr>
      <w:r>
        <w:rPr>
          <w:rFonts w:ascii="Calibri" w:hAnsi="Calibri"/>
          <w:b/>
          <w:color w:val="0D3B66"/>
          <w:sz w:val="20"/>
        </w:rPr>
        <w:t>Pedido: corte 00:30 (01:00–05:00 a cero) en Matriz Quilicura y Bazar Gourmet Kennedy (965 m³/mes · $1.351.560). Maipú: validar Arrow + punto 6 y la gatera. El detalle recinto por recinto está en el reporte extendido.</w:t>
      </w:r>
    </w:p>
    <w:sectPr w:rsidR="00FC693F" w:rsidRPr="0006063C" w:rsidSect="00034616">
      <w:headerReference w:type="default" r:id="rId9"/>
      <w:pgSz w:w="11906" w:h="16838"/>
      <w:pgMar w:top="765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