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F4788"/>
          <w:sz w:val="28"/>
        </w:rPr>
        <w:t>Validaciones Fundo Zapallar — consolidado</w:t>
      </w:r>
    </w:p>
    <w:p>
      <w:r>
        <w:rPr>
          <w:rFonts w:ascii="Calibri" w:hAnsi="Calibri" w:eastAsia="Calibri"/>
          <w:b w:val="0"/>
          <w:color w:val="595959"/>
          <w:sz w:val="16"/>
        </w:rPr>
        <w:t>Relojería vs App WES · Matriz ESVAL (000027-01) y Etapa N°5 (000027-03) · Error = 1 − (relojería / app) · Uso interno WES</w:t>
      </w:r>
    </w:p>
    <w:p>
      <w:pPr>
        <w:pStyle w:val="Heading1"/>
      </w:pPr>
      <w:r>
        <w:rPr>
          <w:color w:val="1F4788"/>
        </w:rPr>
        <w:t>Historial de campañas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1"/>
        <w:gridCol w:w="1331"/>
        <w:gridCol w:w="1331"/>
        <w:gridCol w:w="1331"/>
        <w:gridCol w:w="1331"/>
        <w:gridCol w:w="1331"/>
        <w:gridCol w:w="1331"/>
        <w:gridCol w:w="1331"/>
      </w:tblGrid>
      <w:tr>
        <w:tc>
          <w:tcPr>
            <w:tcW w:type="dxa" w:w="1331"/>
          </w:tcPr>
          <w:p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Ventana</w:t>
            </w:r>
          </w:p>
        </w:tc>
        <w:tc>
          <w:tcPr>
            <w:tcW w:type="dxa" w:w="1331"/>
          </w:tcPr>
          <w:p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Matriz reloj</w:t>
            </w:r>
          </w:p>
        </w:tc>
        <w:tc>
          <w:tcPr>
            <w:tcW w:type="dxa" w:w="1331"/>
          </w:tcPr>
          <w:p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Matriz app</w:t>
            </w:r>
          </w:p>
        </w:tc>
        <w:tc>
          <w:tcPr>
            <w:tcW w:type="dxa" w:w="1331"/>
          </w:tcPr>
          <w:p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Err %</w:t>
            </w:r>
          </w:p>
        </w:tc>
        <w:tc>
          <w:tcPr>
            <w:tcW w:type="dxa" w:w="1331"/>
          </w:tcPr>
          <w:p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E5 reloj</w:t>
            </w:r>
          </w:p>
        </w:tc>
        <w:tc>
          <w:tcPr>
            <w:tcW w:type="dxa" w:w="1331"/>
          </w:tcPr>
          <w:p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E5 app</w:t>
            </w:r>
          </w:p>
        </w:tc>
        <w:tc>
          <w:tcPr>
            <w:tcW w:type="dxa" w:w="1331"/>
          </w:tcPr>
          <w:p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Err %</w:t>
            </w:r>
          </w:p>
        </w:tc>
        <w:tc>
          <w:tcPr>
            <w:tcW w:type="dxa" w:w="1331"/>
          </w:tcPr>
          <w:p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Estado</w:t>
            </w:r>
          </w:p>
        </w:tc>
      </w:tr>
      <w:tr>
        <w:tc>
          <w:tcPr>
            <w:tcW w:type="dxa" w:w="133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23-09 → 02-10</w:t>
            </w:r>
          </w:p>
        </w:tc>
        <w:tc>
          <w:tcPr>
            <w:tcW w:type="dxa" w:w="133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1.281,9 m³</w:t>
            </w:r>
          </w:p>
        </w:tc>
        <w:tc>
          <w:tcPr>
            <w:tcW w:type="dxa" w:w="133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1.309,56 m³</w:t>
            </w:r>
          </w:p>
        </w:tc>
        <w:tc>
          <w:tcPr>
            <w:tcW w:type="dxa" w:w="133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2,1 %</w:t>
            </w:r>
          </w:p>
        </w:tc>
        <w:tc>
          <w:tcPr>
            <w:tcW w:type="dxa" w:w="133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195,0 m³</w:t>
            </w:r>
          </w:p>
        </w:tc>
        <w:tc>
          <w:tcPr>
            <w:tcW w:type="dxa" w:w="133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195,6 m³</w:t>
            </w:r>
          </w:p>
        </w:tc>
        <w:tc>
          <w:tcPr>
            <w:tcW w:type="dxa" w:w="133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0,3 %</w:t>
            </w:r>
          </w:p>
        </w:tc>
        <w:tc>
          <w:tcPr>
            <w:tcW w:type="dxa" w:w="133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M:Ace / E5:Exc</w:t>
            </w:r>
          </w:p>
        </w:tc>
      </w:tr>
      <w:tr>
        <w:tc>
          <w:tcPr>
            <w:tcW w:type="dxa" w:w="133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02-10 → 14-10</w:t>
            </w:r>
          </w:p>
        </w:tc>
        <w:tc>
          <w:tcPr>
            <w:tcW w:type="dxa" w:w="133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1.391,5 m³</w:t>
            </w:r>
          </w:p>
        </w:tc>
        <w:tc>
          <w:tcPr>
            <w:tcW w:type="dxa" w:w="133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1.425,87 m³</w:t>
            </w:r>
          </w:p>
        </w:tc>
        <w:tc>
          <w:tcPr>
            <w:tcW w:type="dxa" w:w="133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2,4 %</w:t>
            </w:r>
          </w:p>
        </w:tc>
        <w:tc>
          <w:tcPr>
            <w:tcW w:type="dxa" w:w="133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242,1 m³</w:t>
            </w:r>
          </w:p>
        </w:tc>
        <w:tc>
          <w:tcPr>
            <w:tcW w:type="dxa" w:w="133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243,4 m³</w:t>
            </w:r>
          </w:p>
        </w:tc>
        <w:tc>
          <w:tcPr>
            <w:tcW w:type="dxa" w:w="133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0,5 %</w:t>
            </w:r>
          </w:p>
        </w:tc>
        <w:tc>
          <w:tcPr>
            <w:tcW w:type="dxa" w:w="133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M:Ace / E5:Exc</w:t>
            </w:r>
          </w:p>
        </w:tc>
      </w:tr>
      <w:tr>
        <w:tc>
          <w:tcPr>
            <w:tcW w:type="dxa" w:w="133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02-10 → 15-10</w:t>
            </w:r>
          </w:p>
        </w:tc>
        <w:tc>
          <w:tcPr>
            <w:tcW w:type="dxa" w:w="133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1.458,9 m³</w:t>
            </w:r>
          </w:p>
        </w:tc>
        <w:tc>
          <w:tcPr>
            <w:tcW w:type="dxa" w:w="133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1.496,32 m³</w:t>
            </w:r>
          </w:p>
        </w:tc>
        <w:tc>
          <w:tcPr>
            <w:tcW w:type="dxa" w:w="133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2,5 %</w:t>
            </w:r>
          </w:p>
        </w:tc>
        <w:tc>
          <w:tcPr>
            <w:tcW w:type="dxa" w:w="133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258,0 m³</w:t>
            </w:r>
          </w:p>
        </w:tc>
        <w:tc>
          <w:tcPr>
            <w:tcW w:type="dxa" w:w="133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261,7 m³</w:t>
            </w:r>
          </w:p>
        </w:tc>
        <w:tc>
          <w:tcPr>
            <w:tcW w:type="dxa" w:w="133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1,4 %</w:t>
            </w:r>
          </w:p>
        </w:tc>
        <w:tc>
          <w:tcPr>
            <w:tcW w:type="dxa" w:w="1331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M:Ace / E5:Ace</w:t>
            </w:r>
          </w:p>
        </w:tc>
      </w:tr>
    </w:tbl>
    <w:p/>
    <w:p>
      <w:pPr>
        <w:pStyle w:val="Heading1"/>
      </w:pPr>
      <w:r>
        <w:rPr>
          <w:color w:val="1F4788"/>
        </w:rPr>
        <w:t>Notas por campaña</w:t>
      </w:r>
    </w:p>
    <w:p>
      <w:pPr>
        <w:pStyle w:val="ListBullet"/>
        <w:spacing w:after="20"/>
      </w:pPr>
      <w:r>
        <w:rPr>
          <w:rFonts w:ascii="Calibri" w:hAnsi="Calibri" w:eastAsia="Calibri"/>
          <w:b w:val="0"/>
          <w:sz w:val="16"/>
        </w:rPr>
        <w:t>23-09 → 02-10 — Relojería post-intervención. Cierre con fotos del 02-10.</w:t>
      </w:r>
    </w:p>
    <w:p>
      <w:pPr>
        <w:pStyle w:val="ListBullet"/>
        <w:spacing w:after="20"/>
      </w:pPr>
      <w:r>
        <w:rPr>
          <w:rFonts w:ascii="Calibri" w:hAnsi="Calibri" w:eastAsia="Calibri"/>
          <w:b w:val="0"/>
          <w:sz w:val="16"/>
        </w:rPr>
        <w:t>02-10 → 14-10 — Fotos tarde 14-10 + Excel app. Horas completas; excluye hora de cada foto.</w:t>
      </w:r>
    </w:p>
    <w:p>
      <w:pPr>
        <w:pStyle w:val="ListBullet"/>
        <w:spacing w:after="20"/>
      </w:pPr>
      <w:r>
        <w:rPr>
          <w:rFonts w:ascii="Calibri" w:hAnsi="Calibri" w:eastAsia="Calibri"/>
          <w:b w:val="0"/>
          <w:sz w:val="16"/>
        </w:rPr>
        <w:t>02-10 → 15-10 — Fotos mañana 15-10 + mismo Excel. Última campaña (vigente).</w:t>
      </w:r>
    </w:p>
    <w:p>
      <w:pPr>
        <w:pStyle w:val="Heading1"/>
      </w:pPr>
      <w:r>
        <w:rPr>
          <w:color w:val="1F4788"/>
        </w:rPr>
        <w:t>Lectura consolidada</w:t>
      </w:r>
    </w:p>
    <w:p>
      <w:pPr>
        <w:jc w:val="both"/>
      </w:pPr>
      <w:r>
        <w:rPr>
          <w:rFonts w:ascii="Calibri" w:hAnsi="Calibri" w:eastAsia="Calibri"/>
          <w:b w:val="0"/>
          <w:sz w:val="18"/>
        </w:rPr>
        <w:t>Desde la relojería del 23-09 → 02-10, Matriz ESVAL se mantiene entre 2,1 % y 2,5 % (app por encima del Itron). Etapa N°5 cierra excelente/aceptable (0,3 % → 1,4 %). Última campaña vigente: 02-10 → 15-10 (Matriz 2,5 %, Etapa 5 1,4 %).</w:t>
      </w:r>
    </w:p>
    <w:p>
      <w:pPr>
        <w:spacing w:before="120"/>
      </w:pPr>
      <w:r>
        <w:rPr>
          <w:rFonts w:ascii="Calibri" w:hAnsi="Calibri" w:eastAsia="Calibri"/>
          <w:b w:val="0"/>
          <w:color w:val="595959"/>
          <w:sz w:val="14"/>
        </w:rPr>
        <w:t>WES · generado 19-10-2026 14:14</w:t>
      </w:r>
    </w:p>
    <w:sectPr w:rsidR="00FC693F" w:rsidRPr="0006063C" w:rsidSect="00034616">
      <w:pgSz w:w="12240" w:h="15840"/>
      <w:pgMar w:top="680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