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32"/>
        </w:rPr>
        <w:t>INFORME DE AUDITORÍA Y RENDIMIENTO</w:t>
      </w:r>
    </w:p>
    <w:p>
      <w:pPr>
        <w:jc w:val="center"/>
      </w:pPr>
      <w:r>
        <w:rPr>
          <w:rFonts w:ascii="Calibri" w:hAnsi="Calibri"/>
          <w:color w:val="003366"/>
          <w:sz w:val="24"/>
        </w:rPr>
        <w:t>Colegio Juan Pablo II  ·  CORMUP / Peñalolén</w:t>
        <w:br/>
        <w:t>Nodo WES 000008-14</w:t>
      </w:r>
    </w:p>
    <w:p>
      <w:pPr>
        <w:jc w:val="center"/>
      </w:pPr>
      <w:r>
        <w:rPr>
          <w:rFonts w:ascii="Calibri" w:hAnsi="Calibri"/>
          <w:color w:val="475569"/>
          <w:sz w:val="20"/>
        </w:rPr>
        <w:t>Cuenta Aguas Andinas 364260-7  ·  Medidor 130738981</w:t>
        <w:br/>
        <w:t>Generado el 24-09-2026 13:50</w:t>
      </w:r>
    </w:p>
    <w:p>
      <w:pPr>
        <w:pStyle w:val="Heading1"/>
        <w:keepNext/>
        <w:widowControl/>
        <w:spacing w:after="60"/>
      </w:pPr>
      <w:r>
        <w:rPr>
          <w:b/>
          <w:color w:val="003366"/>
        </w:rPr>
        <w:t>1. ALCANCE</w:t>
      </w:r>
    </w:p>
    <w:p>
      <w:pPr>
        <w:spacing w:after="120" w:before="0"/>
      </w:pPr>
      <w:r>
        <w:rPr>
          <w:rFonts w:ascii="Calibri" w:hAnsi="Calibri"/>
          <w:b w:val="0"/>
          <w:color w:val="1E293B"/>
          <w:sz w:val="22"/>
        </w:rPr>
        <w:t>Este informe presenta el histórico de facturación de agua potable del Colegio Juan Pablo II frente al consumo registrado por el nodo WES 000008-14, y la diferencia mensual entre ambos. La comparación usa solo boletas con lectura real del medidor. La boleta emitida a promedio (consumo estimado SISS) se informa aparte y no entra al total ni a los gráficos.</w:t>
      </w:r>
    </w:p>
    <w:p>
      <w:pPr>
        <w:spacing w:after="120" w:before="0"/>
      </w:pPr>
      <w:r>
        <w:rPr>
          <w:rFonts w:ascii="Calibri" w:hAnsi="Calibri"/>
          <w:b w:val="0"/>
          <w:color w:val="1E293B"/>
          <w:sz w:val="22"/>
        </w:rPr>
        <w:t>La diferencia se calcula como m³ facturados menos m³ WES del mismo intervalo de lecturas. Si en ese intervalo faltan días en la API, esos días se proyectan con el promedio diario de los días con dato del mismo período (se exige al menos 3 días de base) y se suman al WES. La valorización usa la tarifa vigente del nodo: $1.270 por m³ (configuración KPI desde el 09-12-2024). No es el total de la boleta: la cuenta incluye cargo fijo y otros ítems.</w:t>
      </w:r>
    </w:p>
    <w:p>
      <w:pPr>
        <w:pStyle w:val="Heading1"/>
        <w:keepNext/>
        <w:widowControl/>
        <w:spacing w:after="60"/>
      </w:pPr>
      <w:r>
        <w:rPr>
          <w:b/>
          <w:color w:val="003366"/>
        </w:rPr>
        <w:t>2. RESULTADO</w:t>
      </w:r>
    </w:p>
    <w:p>
      <w:pPr>
        <w:spacing w:after="120" w:before="0"/>
      </w:pPr>
      <w:r>
        <w:rPr>
          <w:rFonts w:ascii="Calibri" w:hAnsi="Calibri"/>
          <w:b w:val="0"/>
          <w:color w:val="1E293B"/>
          <w:sz w:val="22"/>
        </w:rPr>
        <w:t>En los 8 períodos con lectura real, la cuenta registra 196 m³ y WES 1.003,2 m³. La diferencia acumulada es -807,2 m³ (-411.8% respecto de la cuenta): el nodo mide más agua que la que factura Aguas Andinas. No hay un ahorro de la boleta frente al registro WES; la brecha es de sobre-registro del nodo (o de sub-registro del medidor de la compañía) y se mantiene en todos los meses válidos.</w:t>
      </w:r>
    </w:p>
    <w:p>
      <w:pPr>
        <w:spacing w:after="120" w:before="0"/>
      </w:pPr>
      <w:r>
        <w:rPr>
          <w:rFonts w:ascii="Calibri" w:hAnsi="Calibri"/>
          <w:b w:val="0"/>
          <w:color w:val="1E293B"/>
          <w:sz w:val="22"/>
        </w:rPr>
        <w:t>Valorización de esa diferencia a $1.270/m³: $-1.025.126. La boleta de 09-sep-2026 (N° 9458934, 26 m³, $31.780) está facturada a promedio y queda fuera del comparativo.</w:t>
      </w:r>
    </w:p>
    <w:p>
      <w:pPr>
        <w:pStyle w:val="Heading1"/>
        <w:keepNext/>
        <w:widowControl/>
        <w:spacing w:after="60"/>
      </w:pPr>
      <w:r>
        <w:rPr>
          <w:b/>
          <w:color w:val="003366"/>
        </w:rPr>
        <w:t>3. HISTÓRICO POR PERÍODO DE LECTURA</w:t>
      </w:r>
    </w:p>
    <w:tbl>
      <w:tblPr>
        <w:tblStyle w:val="TableGrid"/>
        <w:tblW w:type="auto" w:w="0"/>
        <w:tblLook w:firstColumn="1" w:firstRow="1" w:lastColumn="0" w:lastRow="0" w:noHBand="0" w:noVBand="1" w:val="04A0"/>
      </w:tblPr>
      <w:tblGrid>
        <w:gridCol w:w="1043"/>
        <w:gridCol w:w="1043"/>
        <w:gridCol w:w="1043"/>
        <w:gridCol w:w="1043"/>
        <w:gridCol w:w="1043"/>
        <w:gridCol w:w="1043"/>
        <w:gridCol w:w="1043"/>
        <w:gridCol w:w="1043"/>
        <w:gridCol w:w="1043"/>
        <w:gridCol w:w="1043"/>
      </w:tblGrid>
      <w:tr>
        <w:trPr>
          <w:cantSplit/>
        </w:trPr>
        <w:tc>
          <w:tcPr>
            <w:tcW w:type="dxa" w:w="1043"/>
            <w:shd w:val="clear" w:fill="003366"/>
          </w:tcPr>
          <w:p>
            <w:pPr>
              <w:spacing w:before="20" w:after="20"/>
            </w:pPr>
            <w:r>
              <w:rPr>
                <w:b/>
                <w:color w:val="FFFFFF"/>
                <w:sz w:val="18"/>
              </w:rPr>
            </w:r>
            <w:r>
              <w:rPr>
                <w:rFonts w:ascii="Calibri" w:hAnsi="Calibri"/>
                <w:b/>
                <w:sz w:val="16"/>
              </w:rPr>
              <w:t>Período de lecturas</w:t>
            </w:r>
          </w:p>
        </w:tc>
        <w:tc>
          <w:tcPr>
            <w:tcW w:type="dxa" w:w="1043"/>
            <w:shd w:val="clear" w:fill="003366"/>
          </w:tcPr>
          <w:p>
            <w:pPr>
              <w:spacing w:before="20" w:after="20"/>
            </w:pPr>
            <w:r>
              <w:rPr>
                <w:b/>
                <w:color w:val="FFFFFF"/>
                <w:sz w:val="18"/>
              </w:rPr>
            </w:r>
            <w:r>
              <w:rPr>
                <w:rFonts w:ascii="Calibri" w:hAnsi="Calibri"/>
                <w:b/>
                <w:sz w:val="16"/>
              </w:rPr>
              <w:t>Emisión</w:t>
            </w:r>
          </w:p>
        </w:tc>
        <w:tc>
          <w:tcPr>
            <w:tcW w:type="dxa" w:w="1043"/>
            <w:shd w:val="clear" w:fill="003366"/>
          </w:tcPr>
          <w:p>
            <w:pPr>
              <w:spacing w:before="20" w:after="20"/>
            </w:pPr>
            <w:r>
              <w:rPr>
                <w:b/>
                <w:color w:val="FFFFFF"/>
                <w:sz w:val="18"/>
              </w:rPr>
            </w:r>
            <w:r>
              <w:rPr>
                <w:rFonts w:ascii="Calibri" w:hAnsi="Calibri"/>
                <w:b/>
                <w:sz w:val="16"/>
              </w:rPr>
              <w:t>Boleta</w:t>
            </w:r>
          </w:p>
        </w:tc>
        <w:tc>
          <w:tcPr>
            <w:tcW w:type="dxa" w:w="1043"/>
            <w:shd w:val="clear" w:fill="003366"/>
          </w:tcPr>
          <w:p>
            <w:pPr>
              <w:spacing w:before="20" w:after="20"/>
            </w:pPr>
            <w:r>
              <w:rPr>
                <w:b/>
                <w:color w:val="FFFFFF"/>
                <w:sz w:val="18"/>
              </w:rPr>
            </w:r>
            <w:r>
              <w:rPr>
                <w:rFonts w:ascii="Calibri" w:hAnsi="Calibri"/>
                <w:b/>
                <w:sz w:val="16"/>
              </w:rPr>
              <w:t>m³ cuenta</w:t>
            </w:r>
          </w:p>
        </w:tc>
        <w:tc>
          <w:tcPr>
            <w:tcW w:type="dxa" w:w="1043"/>
            <w:shd w:val="clear" w:fill="003366"/>
          </w:tcPr>
          <w:p>
            <w:pPr>
              <w:spacing w:before="20" w:after="20"/>
            </w:pPr>
            <w:r>
              <w:rPr>
                <w:b/>
                <w:color w:val="FFFFFF"/>
                <w:sz w:val="18"/>
              </w:rPr>
            </w:r>
            <w:r>
              <w:rPr>
                <w:rFonts w:ascii="Calibri" w:hAnsi="Calibri"/>
                <w:b/>
                <w:sz w:val="16"/>
              </w:rPr>
              <w:t>m³ WES</w:t>
            </w:r>
          </w:p>
        </w:tc>
        <w:tc>
          <w:tcPr>
            <w:tcW w:type="dxa" w:w="1043"/>
            <w:shd w:val="clear" w:fill="003366"/>
          </w:tcPr>
          <w:p>
            <w:pPr>
              <w:spacing w:before="20" w:after="20"/>
            </w:pPr>
            <w:r>
              <w:rPr>
                <w:b/>
                <w:color w:val="FFFFFF"/>
                <w:sz w:val="18"/>
              </w:rPr>
            </w:r>
            <w:r>
              <w:rPr>
                <w:rFonts w:ascii="Calibri" w:hAnsi="Calibri"/>
                <w:b/>
                <w:sz w:val="16"/>
              </w:rPr>
              <w:t>Huecos (d)</w:t>
            </w:r>
          </w:p>
        </w:tc>
        <w:tc>
          <w:tcPr>
            <w:tcW w:type="dxa" w:w="1043"/>
            <w:shd w:val="clear" w:fill="003366"/>
          </w:tcPr>
          <w:p>
            <w:pPr>
              <w:spacing w:before="20" w:after="20"/>
            </w:pPr>
            <w:r>
              <w:rPr>
                <w:b/>
                <w:color w:val="FFFFFF"/>
                <w:sz w:val="18"/>
              </w:rPr>
            </w:r>
            <w:r>
              <w:rPr>
                <w:rFonts w:ascii="Calibri" w:hAnsi="Calibri"/>
                <w:b/>
                <w:sz w:val="16"/>
              </w:rPr>
              <w:t>m³ WES+proy</w:t>
            </w:r>
          </w:p>
        </w:tc>
        <w:tc>
          <w:tcPr>
            <w:tcW w:type="dxa" w:w="1043"/>
            <w:shd w:val="clear" w:fill="003366"/>
          </w:tcPr>
          <w:p>
            <w:pPr>
              <w:spacing w:before="20" w:after="20"/>
            </w:pPr>
            <w:r>
              <w:rPr>
                <w:b/>
                <w:color w:val="FFFFFF"/>
                <w:sz w:val="18"/>
              </w:rPr>
            </w:r>
            <w:r>
              <w:rPr>
                <w:rFonts w:ascii="Calibri" w:hAnsi="Calibri"/>
                <w:b/>
                <w:sz w:val="16"/>
              </w:rPr>
              <w:t>Dif. m³</w:t>
            </w:r>
          </w:p>
        </w:tc>
        <w:tc>
          <w:tcPr>
            <w:tcW w:type="dxa" w:w="1043"/>
            <w:shd w:val="clear" w:fill="003366"/>
          </w:tcPr>
          <w:p>
            <w:pPr>
              <w:spacing w:before="20" w:after="20"/>
            </w:pPr>
            <w:r>
              <w:rPr>
                <w:b/>
                <w:color w:val="FFFFFF"/>
                <w:sz w:val="18"/>
              </w:rPr>
            </w:r>
            <w:r>
              <w:rPr>
                <w:rFonts w:ascii="Calibri" w:hAnsi="Calibri"/>
                <w:b/>
                <w:sz w:val="16"/>
              </w:rPr>
              <w:t>% vs cuenta</w:t>
            </w:r>
          </w:p>
        </w:tc>
        <w:tc>
          <w:tcPr>
            <w:tcW w:type="dxa" w:w="1043"/>
            <w:shd w:val="clear" w:fill="003366"/>
          </w:tcPr>
          <w:p>
            <w:pPr>
              <w:spacing w:before="20" w:after="20"/>
            </w:pPr>
            <w:r>
              <w:rPr>
                <w:b/>
                <w:color w:val="FFFFFF"/>
                <w:sz w:val="18"/>
              </w:rPr>
            </w:r>
            <w:r>
              <w:rPr>
                <w:rFonts w:ascii="Calibri" w:hAnsi="Calibri"/>
                <w:b/>
                <w:sz w:val="16"/>
              </w:rPr>
              <w:t>Total boleta</w:t>
            </w:r>
          </w:p>
        </w:tc>
      </w:tr>
      <w:tr>
        <w:trPr>
          <w:cantSplit/>
        </w:trPr>
        <w:tc>
          <w:tcPr>
            <w:tcW w:type="dxa" w:w="1043"/>
          </w:tcPr>
          <w:p>
            <w:pPr>
              <w:spacing w:before="20" w:after="20"/>
            </w:pPr>
            <w:r>
              <w:rPr>
                <w:sz w:val="16"/>
              </w:rPr>
            </w:r>
            <w:r>
              <w:rPr>
                <w:rFonts w:ascii="Calibri" w:hAnsi="Calibri"/>
                <w:b w:val="0"/>
                <w:sz w:val="16"/>
              </w:rPr>
              <w:t>04-dic-2025 → 02-ene-2026</w:t>
            </w:r>
          </w:p>
        </w:tc>
        <w:tc>
          <w:tcPr>
            <w:tcW w:type="dxa" w:w="1043"/>
          </w:tcPr>
          <w:p>
            <w:pPr>
              <w:spacing w:before="20" w:after="20"/>
            </w:pPr>
            <w:r>
              <w:rPr>
                <w:sz w:val="16"/>
              </w:rPr>
            </w:r>
            <w:r>
              <w:rPr>
                <w:rFonts w:ascii="Calibri" w:hAnsi="Calibri"/>
                <w:b w:val="0"/>
                <w:sz w:val="16"/>
              </w:rPr>
              <w:t>10-ene-2026</w:t>
            </w:r>
          </w:p>
        </w:tc>
        <w:tc>
          <w:tcPr>
            <w:tcW w:type="dxa" w:w="1043"/>
          </w:tcPr>
          <w:p>
            <w:pPr>
              <w:spacing w:before="20" w:after="20"/>
            </w:pPr>
            <w:r>
              <w:rPr>
                <w:sz w:val="16"/>
              </w:rPr>
            </w:r>
            <w:r>
              <w:rPr>
                <w:rFonts w:ascii="Calibri" w:hAnsi="Calibri"/>
                <w:b w:val="0"/>
                <w:sz w:val="16"/>
              </w:rPr>
              <w:t>9004459</w:t>
            </w:r>
          </w:p>
        </w:tc>
        <w:tc>
          <w:tcPr>
            <w:tcW w:type="dxa" w:w="1043"/>
          </w:tcPr>
          <w:p>
            <w:pPr>
              <w:spacing w:before="20" w:after="20"/>
            </w:pPr>
            <w:r>
              <w:rPr>
                <w:sz w:val="16"/>
              </w:rPr>
            </w:r>
            <w:r>
              <w:rPr>
                <w:rFonts w:ascii="Calibri" w:hAnsi="Calibri"/>
                <w:b w:val="0"/>
                <w:sz w:val="16"/>
              </w:rPr>
              <w:t>10</w:t>
            </w:r>
          </w:p>
        </w:tc>
        <w:tc>
          <w:tcPr>
            <w:tcW w:type="dxa" w:w="1043"/>
          </w:tcPr>
          <w:p>
            <w:pPr>
              <w:spacing w:before="20" w:after="20"/>
            </w:pPr>
            <w:r>
              <w:rPr>
                <w:sz w:val="16"/>
              </w:rPr>
            </w:r>
            <w:r>
              <w:rPr>
                <w:rFonts w:ascii="Calibri" w:hAnsi="Calibri"/>
                <w:b w:val="0"/>
                <w:sz w:val="16"/>
              </w:rPr>
              <w:t>118,8</w:t>
            </w:r>
          </w:p>
        </w:tc>
        <w:tc>
          <w:tcPr>
            <w:tcW w:type="dxa" w:w="1043"/>
          </w:tcPr>
          <w:p>
            <w:pPr>
              <w:spacing w:before="20" w:after="20"/>
            </w:pPr>
            <w:r>
              <w:rPr>
                <w:sz w:val="16"/>
              </w:rPr>
            </w:r>
            <w:r>
              <w:rPr>
                <w:rFonts w:ascii="Calibri" w:hAnsi="Calibri"/>
                <w:b w:val="0"/>
                <w:sz w:val="16"/>
              </w:rPr>
              <w:t>8</w:t>
            </w:r>
          </w:p>
        </w:tc>
        <w:tc>
          <w:tcPr>
            <w:tcW w:type="dxa" w:w="1043"/>
          </w:tcPr>
          <w:p>
            <w:pPr>
              <w:spacing w:before="20" w:after="20"/>
            </w:pPr>
            <w:r>
              <w:rPr>
                <w:sz w:val="16"/>
              </w:rPr>
            </w:r>
            <w:r>
              <w:rPr>
                <w:rFonts w:ascii="Calibri" w:hAnsi="Calibri"/>
                <w:b w:val="0"/>
                <w:sz w:val="16"/>
              </w:rPr>
              <w:t>162</w:t>
            </w:r>
          </w:p>
        </w:tc>
        <w:tc>
          <w:tcPr>
            <w:tcW w:type="dxa" w:w="1043"/>
          </w:tcPr>
          <w:p>
            <w:pPr>
              <w:spacing w:before="20" w:after="20"/>
            </w:pPr>
            <w:r>
              <w:rPr>
                <w:sz w:val="16"/>
              </w:rPr>
            </w:r>
            <w:r>
              <w:rPr>
                <w:rFonts w:ascii="Calibri" w:hAnsi="Calibri"/>
                <w:b w:val="0"/>
                <w:sz w:val="16"/>
              </w:rPr>
              <w:t>-152</w:t>
            </w:r>
          </w:p>
        </w:tc>
        <w:tc>
          <w:tcPr>
            <w:tcW w:type="dxa" w:w="1043"/>
          </w:tcPr>
          <w:p>
            <w:pPr>
              <w:spacing w:before="20" w:after="20"/>
            </w:pPr>
            <w:r>
              <w:rPr>
                <w:sz w:val="16"/>
              </w:rPr>
            </w:r>
            <w:r>
              <w:rPr>
                <w:rFonts w:ascii="Calibri" w:hAnsi="Calibri"/>
                <w:b w:val="0"/>
                <w:sz w:val="16"/>
              </w:rPr>
              <w:t>-1520,0</w:t>
            </w:r>
          </w:p>
        </w:tc>
        <w:tc>
          <w:tcPr>
            <w:tcW w:type="dxa" w:w="1043"/>
          </w:tcPr>
          <w:p>
            <w:pPr>
              <w:spacing w:before="20" w:after="20"/>
            </w:pPr>
            <w:r>
              <w:rPr>
                <w:sz w:val="16"/>
              </w:rPr>
            </w:r>
            <w:r>
              <w:rPr>
                <w:rFonts w:ascii="Calibri" w:hAnsi="Calibri"/>
                <w:b w:val="0"/>
                <w:sz w:val="16"/>
              </w:rPr>
              <w:t>$14.250</w:t>
            </w:r>
          </w:p>
        </w:tc>
      </w:tr>
      <w:tr>
        <w:trPr>
          <w:cantSplit/>
        </w:trPr>
        <w:tc>
          <w:tcPr>
            <w:tcW w:type="dxa" w:w="1043"/>
            <w:shd w:val="clear" w:fill="F2F6FC"/>
          </w:tcPr>
          <w:p>
            <w:pPr>
              <w:spacing w:before="20" w:after="20"/>
            </w:pPr>
            <w:r>
              <w:rPr>
                <w:sz w:val="16"/>
              </w:rPr>
            </w:r>
            <w:r>
              <w:rPr>
                <w:rFonts w:ascii="Calibri" w:hAnsi="Calibri"/>
                <w:b w:val="0"/>
                <w:sz w:val="16"/>
              </w:rPr>
              <w:t>02-ene-2026 → 02-feb-2026</w:t>
            </w:r>
          </w:p>
        </w:tc>
        <w:tc>
          <w:tcPr>
            <w:tcW w:type="dxa" w:w="1043"/>
            <w:shd w:val="clear" w:fill="F2F6FC"/>
          </w:tcPr>
          <w:p>
            <w:pPr>
              <w:spacing w:before="20" w:after="20"/>
            </w:pPr>
            <w:r>
              <w:rPr>
                <w:sz w:val="16"/>
              </w:rPr>
            </w:r>
            <w:r>
              <w:rPr>
                <w:rFonts w:ascii="Calibri" w:hAnsi="Calibri"/>
                <w:b w:val="0"/>
                <w:sz w:val="16"/>
              </w:rPr>
              <w:t>09-feb-2026</w:t>
            </w:r>
          </w:p>
        </w:tc>
        <w:tc>
          <w:tcPr>
            <w:tcW w:type="dxa" w:w="1043"/>
            <w:shd w:val="clear" w:fill="F2F6FC"/>
          </w:tcPr>
          <w:p>
            <w:pPr>
              <w:spacing w:before="20" w:after="20"/>
            </w:pPr>
            <w:r>
              <w:rPr>
                <w:sz w:val="16"/>
              </w:rPr>
            </w:r>
            <w:r>
              <w:rPr>
                <w:rFonts w:ascii="Calibri" w:hAnsi="Calibri"/>
                <w:b w:val="0"/>
                <w:sz w:val="16"/>
              </w:rPr>
              <w:t>9062561</w:t>
            </w:r>
          </w:p>
        </w:tc>
        <w:tc>
          <w:tcPr>
            <w:tcW w:type="dxa" w:w="1043"/>
            <w:shd w:val="clear" w:fill="F2F6FC"/>
          </w:tcPr>
          <w:p>
            <w:pPr>
              <w:spacing w:before="20" w:after="20"/>
            </w:pPr>
            <w:r>
              <w:rPr>
                <w:sz w:val="16"/>
              </w:rPr>
            </w:r>
            <w:r>
              <w:rPr>
                <w:rFonts w:ascii="Calibri" w:hAnsi="Calibri"/>
                <w:b w:val="0"/>
                <w:sz w:val="16"/>
              </w:rPr>
              <w:t>27</w:t>
            </w:r>
          </w:p>
        </w:tc>
        <w:tc>
          <w:tcPr>
            <w:tcW w:type="dxa" w:w="1043"/>
            <w:shd w:val="clear" w:fill="F2F6FC"/>
          </w:tcPr>
          <w:p>
            <w:pPr>
              <w:spacing w:before="20" w:after="20"/>
            </w:pPr>
            <w:r>
              <w:rPr>
                <w:sz w:val="16"/>
              </w:rPr>
            </w:r>
            <w:r>
              <w:rPr>
                <w:rFonts w:ascii="Calibri" w:hAnsi="Calibri"/>
                <w:b w:val="0"/>
                <w:sz w:val="16"/>
              </w:rPr>
              <w:t>24</w:t>
            </w:r>
          </w:p>
        </w:tc>
        <w:tc>
          <w:tcPr>
            <w:tcW w:type="dxa" w:w="1043"/>
            <w:shd w:val="clear" w:fill="F2F6FC"/>
          </w:tcPr>
          <w:p>
            <w:pPr>
              <w:spacing w:before="20" w:after="20"/>
            </w:pPr>
            <w:r>
              <w:rPr>
                <w:sz w:val="16"/>
              </w:rPr>
            </w:r>
            <w:r>
              <w:rPr>
                <w:rFonts w:ascii="Calibri" w:hAnsi="Calibri"/>
                <w:b w:val="0"/>
                <w:sz w:val="16"/>
              </w:rPr>
              <w:t>26</w:t>
            </w:r>
          </w:p>
        </w:tc>
        <w:tc>
          <w:tcPr>
            <w:tcW w:type="dxa" w:w="1043"/>
            <w:shd w:val="clear" w:fill="F2F6FC"/>
          </w:tcPr>
          <w:p>
            <w:pPr>
              <w:spacing w:before="20" w:after="20"/>
            </w:pPr>
            <w:r>
              <w:rPr>
                <w:sz w:val="16"/>
              </w:rPr>
            </w:r>
            <w:r>
              <w:rPr>
                <w:rFonts w:ascii="Calibri" w:hAnsi="Calibri"/>
                <w:b w:val="0"/>
                <w:sz w:val="16"/>
              </w:rPr>
              <w:t>127,8</w:t>
            </w:r>
          </w:p>
        </w:tc>
        <w:tc>
          <w:tcPr>
            <w:tcW w:type="dxa" w:w="1043"/>
            <w:shd w:val="clear" w:fill="F2F6FC"/>
          </w:tcPr>
          <w:p>
            <w:pPr>
              <w:spacing w:before="20" w:after="20"/>
            </w:pPr>
            <w:r>
              <w:rPr>
                <w:sz w:val="16"/>
              </w:rPr>
            </w:r>
            <w:r>
              <w:rPr>
                <w:rFonts w:ascii="Calibri" w:hAnsi="Calibri"/>
                <w:b w:val="0"/>
                <w:sz w:val="16"/>
              </w:rPr>
              <w:t>-100,8</w:t>
            </w:r>
          </w:p>
        </w:tc>
        <w:tc>
          <w:tcPr>
            <w:tcW w:type="dxa" w:w="1043"/>
            <w:shd w:val="clear" w:fill="F2F6FC"/>
          </w:tcPr>
          <w:p>
            <w:pPr>
              <w:spacing w:before="20" w:after="20"/>
            </w:pPr>
            <w:r>
              <w:rPr>
                <w:sz w:val="16"/>
              </w:rPr>
            </w:r>
            <w:r>
              <w:rPr>
                <w:rFonts w:ascii="Calibri" w:hAnsi="Calibri"/>
                <w:b w:val="0"/>
                <w:sz w:val="16"/>
              </w:rPr>
              <w:t>-373,5</w:t>
            </w:r>
          </w:p>
        </w:tc>
        <w:tc>
          <w:tcPr>
            <w:tcW w:type="dxa" w:w="1043"/>
            <w:shd w:val="clear" w:fill="F2F6FC"/>
          </w:tcPr>
          <w:p>
            <w:pPr>
              <w:spacing w:before="20" w:after="20"/>
            </w:pPr>
            <w:r>
              <w:rPr>
                <w:sz w:val="16"/>
              </w:rPr>
            </w:r>
            <w:r>
              <w:rPr>
                <w:rFonts w:ascii="Calibri" w:hAnsi="Calibri"/>
                <w:b w:val="0"/>
                <w:sz w:val="16"/>
              </w:rPr>
              <w:t>$36.940</w:t>
            </w:r>
          </w:p>
        </w:tc>
      </w:tr>
      <w:tr>
        <w:trPr>
          <w:cantSplit/>
        </w:trPr>
        <w:tc>
          <w:tcPr>
            <w:tcW w:type="dxa" w:w="1043"/>
          </w:tcPr>
          <w:p>
            <w:pPr>
              <w:spacing w:before="20" w:after="20"/>
            </w:pPr>
            <w:r>
              <w:rPr>
                <w:sz w:val="16"/>
              </w:rPr>
            </w:r>
            <w:r>
              <w:rPr>
                <w:rFonts w:ascii="Calibri" w:hAnsi="Calibri"/>
                <w:b w:val="0"/>
                <w:sz w:val="16"/>
              </w:rPr>
              <w:t>02-feb-2026 → 05-mar-2026</w:t>
            </w:r>
          </w:p>
        </w:tc>
        <w:tc>
          <w:tcPr>
            <w:tcW w:type="dxa" w:w="1043"/>
          </w:tcPr>
          <w:p>
            <w:pPr>
              <w:spacing w:before="20" w:after="20"/>
            </w:pPr>
            <w:r>
              <w:rPr>
                <w:sz w:val="16"/>
              </w:rPr>
            </w:r>
            <w:r>
              <w:rPr>
                <w:rFonts w:ascii="Calibri" w:hAnsi="Calibri"/>
                <w:b w:val="0"/>
                <w:sz w:val="16"/>
              </w:rPr>
              <w:t>10-mar-2026</w:t>
            </w:r>
          </w:p>
        </w:tc>
        <w:tc>
          <w:tcPr>
            <w:tcW w:type="dxa" w:w="1043"/>
          </w:tcPr>
          <w:p>
            <w:pPr>
              <w:spacing w:before="20" w:after="20"/>
            </w:pPr>
            <w:r>
              <w:rPr>
                <w:sz w:val="16"/>
              </w:rPr>
            </w:r>
            <w:r>
              <w:rPr>
                <w:rFonts w:ascii="Calibri" w:hAnsi="Calibri"/>
                <w:b w:val="0"/>
                <w:sz w:val="16"/>
              </w:rPr>
              <w:t>9119121</w:t>
            </w:r>
          </w:p>
        </w:tc>
        <w:tc>
          <w:tcPr>
            <w:tcW w:type="dxa" w:w="1043"/>
          </w:tcPr>
          <w:p>
            <w:pPr>
              <w:spacing w:before="20" w:after="20"/>
            </w:pPr>
            <w:r>
              <w:rPr>
                <w:sz w:val="16"/>
              </w:rPr>
            </w:r>
            <w:r>
              <w:rPr>
                <w:rFonts w:ascii="Calibri" w:hAnsi="Calibri"/>
                <w:b w:val="0"/>
                <w:sz w:val="16"/>
              </w:rPr>
              <w:t>28</w:t>
            </w:r>
          </w:p>
        </w:tc>
        <w:tc>
          <w:tcPr>
            <w:tcW w:type="dxa" w:w="1043"/>
          </w:tcPr>
          <w:p>
            <w:pPr>
              <w:spacing w:before="20" w:after="20"/>
            </w:pPr>
            <w:r>
              <w:rPr>
                <w:sz w:val="16"/>
              </w:rPr>
            </w:r>
            <w:r>
              <w:rPr>
                <w:rFonts w:ascii="Calibri" w:hAnsi="Calibri"/>
                <w:b w:val="0"/>
                <w:sz w:val="16"/>
              </w:rPr>
              <w:t>148,5</w:t>
            </w:r>
          </w:p>
        </w:tc>
        <w:tc>
          <w:tcPr>
            <w:tcW w:type="dxa" w:w="1043"/>
          </w:tcPr>
          <w:p>
            <w:pPr>
              <w:spacing w:before="20" w:after="20"/>
            </w:pPr>
            <w:r>
              <w:rPr>
                <w:sz w:val="16"/>
              </w:rPr>
            </w:r>
            <w:r>
              <w:rPr>
                <w:rFonts w:ascii="Calibri" w:hAnsi="Calibri"/>
                <w:b w:val="0"/>
                <w:sz w:val="16"/>
              </w:rPr>
              <w:t>5</w:t>
            </w:r>
          </w:p>
        </w:tc>
        <w:tc>
          <w:tcPr>
            <w:tcW w:type="dxa" w:w="1043"/>
          </w:tcPr>
          <w:p>
            <w:pPr>
              <w:spacing w:before="20" w:after="20"/>
            </w:pPr>
            <w:r>
              <w:rPr>
                <w:sz w:val="16"/>
              </w:rPr>
            </w:r>
            <w:r>
              <w:rPr>
                <w:rFonts w:ascii="Calibri" w:hAnsi="Calibri"/>
                <w:b w:val="0"/>
                <w:sz w:val="16"/>
              </w:rPr>
              <w:t>176</w:t>
            </w:r>
          </w:p>
        </w:tc>
        <w:tc>
          <w:tcPr>
            <w:tcW w:type="dxa" w:w="1043"/>
          </w:tcPr>
          <w:p>
            <w:pPr>
              <w:spacing w:before="20" w:after="20"/>
            </w:pPr>
            <w:r>
              <w:rPr>
                <w:sz w:val="16"/>
              </w:rPr>
            </w:r>
            <w:r>
              <w:rPr>
                <w:rFonts w:ascii="Calibri" w:hAnsi="Calibri"/>
                <w:b w:val="0"/>
                <w:sz w:val="16"/>
              </w:rPr>
              <w:t>-148</w:t>
            </w:r>
          </w:p>
        </w:tc>
        <w:tc>
          <w:tcPr>
            <w:tcW w:type="dxa" w:w="1043"/>
          </w:tcPr>
          <w:p>
            <w:pPr>
              <w:spacing w:before="20" w:after="20"/>
            </w:pPr>
            <w:r>
              <w:rPr>
                <w:sz w:val="16"/>
              </w:rPr>
            </w:r>
            <w:r>
              <w:rPr>
                <w:rFonts w:ascii="Calibri" w:hAnsi="Calibri"/>
                <w:b w:val="0"/>
                <w:sz w:val="16"/>
              </w:rPr>
              <w:t>-528,7</w:t>
            </w:r>
          </w:p>
        </w:tc>
        <w:tc>
          <w:tcPr>
            <w:tcW w:type="dxa" w:w="1043"/>
          </w:tcPr>
          <w:p>
            <w:pPr>
              <w:spacing w:before="20" w:after="20"/>
            </w:pPr>
            <w:r>
              <w:rPr>
                <w:sz w:val="16"/>
              </w:rPr>
            </w:r>
            <w:r>
              <w:rPr>
                <w:rFonts w:ascii="Calibri" w:hAnsi="Calibri"/>
                <w:b w:val="0"/>
                <w:sz w:val="16"/>
              </w:rPr>
              <w:t>$38.670</w:t>
            </w:r>
          </w:p>
        </w:tc>
      </w:tr>
      <w:tr>
        <w:trPr>
          <w:cantSplit/>
        </w:trPr>
        <w:tc>
          <w:tcPr>
            <w:tcW w:type="dxa" w:w="1043"/>
            <w:shd w:val="clear" w:fill="F2F6FC"/>
          </w:tcPr>
          <w:p>
            <w:pPr>
              <w:spacing w:before="20" w:after="20"/>
            </w:pPr>
            <w:r>
              <w:rPr>
                <w:sz w:val="16"/>
              </w:rPr>
            </w:r>
            <w:r>
              <w:rPr>
                <w:rFonts w:ascii="Calibri" w:hAnsi="Calibri"/>
                <w:b w:val="0"/>
                <w:sz w:val="16"/>
              </w:rPr>
              <w:t>05-mar-2026 → 02-abr-2026</w:t>
            </w:r>
          </w:p>
        </w:tc>
        <w:tc>
          <w:tcPr>
            <w:tcW w:type="dxa" w:w="1043"/>
            <w:shd w:val="clear" w:fill="F2F6FC"/>
          </w:tcPr>
          <w:p>
            <w:pPr>
              <w:spacing w:before="20" w:after="20"/>
            </w:pPr>
            <w:r>
              <w:rPr>
                <w:sz w:val="16"/>
              </w:rPr>
            </w:r>
            <w:r>
              <w:rPr>
                <w:rFonts w:ascii="Calibri" w:hAnsi="Calibri"/>
                <w:b w:val="0"/>
                <w:sz w:val="16"/>
              </w:rPr>
              <w:t>10-abr-2026</w:t>
            </w:r>
          </w:p>
        </w:tc>
        <w:tc>
          <w:tcPr>
            <w:tcW w:type="dxa" w:w="1043"/>
            <w:shd w:val="clear" w:fill="F2F6FC"/>
          </w:tcPr>
          <w:p>
            <w:pPr>
              <w:spacing w:before="20" w:after="20"/>
            </w:pPr>
            <w:r>
              <w:rPr>
                <w:sz w:val="16"/>
              </w:rPr>
            </w:r>
            <w:r>
              <w:rPr>
                <w:rFonts w:ascii="Calibri" w:hAnsi="Calibri"/>
                <w:b w:val="0"/>
                <w:sz w:val="16"/>
              </w:rPr>
              <w:t>9174713</w:t>
            </w:r>
          </w:p>
        </w:tc>
        <w:tc>
          <w:tcPr>
            <w:tcW w:type="dxa" w:w="1043"/>
            <w:shd w:val="clear" w:fill="F2F6FC"/>
          </w:tcPr>
          <w:p>
            <w:pPr>
              <w:spacing w:before="20" w:after="20"/>
            </w:pPr>
            <w:r>
              <w:rPr>
                <w:sz w:val="16"/>
              </w:rPr>
            </w:r>
            <w:r>
              <w:rPr>
                <w:rFonts w:ascii="Calibri" w:hAnsi="Calibri"/>
                <w:b w:val="0"/>
                <w:sz w:val="16"/>
              </w:rPr>
              <w:t>18</w:t>
            </w:r>
          </w:p>
        </w:tc>
        <w:tc>
          <w:tcPr>
            <w:tcW w:type="dxa" w:w="1043"/>
            <w:shd w:val="clear" w:fill="F2F6FC"/>
          </w:tcPr>
          <w:p>
            <w:pPr>
              <w:spacing w:before="20" w:after="20"/>
            </w:pPr>
            <w:r>
              <w:rPr>
                <w:sz w:val="16"/>
              </w:rPr>
            </w:r>
            <w:r>
              <w:rPr>
                <w:rFonts w:ascii="Calibri" w:hAnsi="Calibri"/>
                <w:b w:val="0"/>
                <w:sz w:val="16"/>
              </w:rPr>
              <w:t>117,3</w:t>
            </w:r>
          </w:p>
        </w:tc>
        <w:tc>
          <w:tcPr>
            <w:tcW w:type="dxa" w:w="1043"/>
            <w:shd w:val="clear" w:fill="F2F6FC"/>
          </w:tcPr>
          <w:p>
            <w:pPr>
              <w:spacing w:before="20" w:after="20"/>
            </w:pPr>
            <w:r>
              <w:rPr>
                <w:sz w:val="16"/>
              </w:rPr>
            </w:r>
            <w:r>
              <w:rPr>
                <w:rFonts w:ascii="Calibri" w:hAnsi="Calibri"/>
                <w:b w:val="0"/>
                <w:sz w:val="16"/>
              </w:rPr>
              <w:t>0</w:t>
            </w:r>
          </w:p>
        </w:tc>
        <w:tc>
          <w:tcPr>
            <w:tcW w:type="dxa" w:w="1043"/>
            <w:shd w:val="clear" w:fill="F2F6FC"/>
          </w:tcPr>
          <w:p>
            <w:pPr>
              <w:spacing w:before="20" w:after="20"/>
            </w:pPr>
            <w:r>
              <w:rPr>
                <w:sz w:val="16"/>
              </w:rPr>
            </w:r>
            <w:r>
              <w:rPr>
                <w:rFonts w:ascii="Calibri" w:hAnsi="Calibri"/>
                <w:b w:val="0"/>
                <w:sz w:val="16"/>
              </w:rPr>
              <w:t>117,3</w:t>
            </w:r>
          </w:p>
        </w:tc>
        <w:tc>
          <w:tcPr>
            <w:tcW w:type="dxa" w:w="1043"/>
            <w:shd w:val="clear" w:fill="F2F6FC"/>
          </w:tcPr>
          <w:p>
            <w:pPr>
              <w:spacing w:before="20" w:after="20"/>
            </w:pPr>
            <w:r>
              <w:rPr>
                <w:sz w:val="16"/>
              </w:rPr>
            </w:r>
            <w:r>
              <w:rPr>
                <w:rFonts w:ascii="Calibri" w:hAnsi="Calibri"/>
                <w:b w:val="0"/>
                <w:sz w:val="16"/>
              </w:rPr>
              <w:t>-99,3</w:t>
            </w:r>
          </w:p>
        </w:tc>
        <w:tc>
          <w:tcPr>
            <w:tcW w:type="dxa" w:w="1043"/>
            <w:shd w:val="clear" w:fill="F2F6FC"/>
          </w:tcPr>
          <w:p>
            <w:pPr>
              <w:spacing w:before="20" w:after="20"/>
            </w:pPr>
            <w:r>
              <w:rPr>
                <w:sz w:val="16"/>
              </w:rPr>
            </w:r>
            <w:r>
              <w:rPr>
                <w:rFonts w:ascii="Calibri" w:hAnsi="Calibri"/>
                <w:b w:val="0"/>
                <w:sz w:val="16"/>
              </w:rPr>
              <w:t>-551,6</w:t>
            </w:r>
          </w:p>
        </w:tc>
        <w:tc>
          <w:tcPr>
            <w:tcW w:type="dxa" w:w="1043"/>
            <w:shd w:val="clear" w:fill="F2F6FC"/>
          </w:tcPr>
          <w:p>
            <w:pPr>
              <w:spacing w:before="20" w:after="20"/>
            </w:pPr>
            <w:r>
              <w:rPr>
                <w:sz w:val="16"/>
              </w:rPr>
            </w:r>
            <w:r>
              <w:rPr>
                <w:rFonts w:ascii="Calibri" w:hAnsi="Calibri"/>
                <w:b w:val="0"/>
                <w:sz w:val="16"/>
              </w:rPr>
              <w:t>$64.460</w:t>
            </w:r>
          </w:p>
        </w:tc>
      </w:tr>
      <w:tr>
        <w:trPr>
          <w:cantSplit/>
        </w:trPr>
        <w:tc>
          <w:tcPr>
            <w:tcW w:type="dxa" w:w="1043"/>
          </w:tcPr>
          <w:p>
            <w:pPr>
              <w:spacing w:before="20" w:after="20"/>
            </w:pPr>
            <w:r>
              <w:rPr>
                <w:sz w:val="16"/>
              </w:rPr>
            </w:r>
            <w:r>
              <w:rPr>
                <w:rFonts w:ascii="Calibri" w:hAnsi="Calibri"/>
                <w:b w:val="0"/>
                <w:sz w:val="16"/>
              </w:rPr>
              <w:t>02-abr-2026 → 04-may-2026</w:t>
            </w:r>
          </w:p>
        </w:tc>
        <w:tc>
          <w:tcPr>
            <w:tcW w:type="dxa" w:w="1043"/>
          </w:tcPr>
          <w:p>
            <w:pPr>
              <w:spacing w:before="20" w:after="20"/>
            </w:pPr>
            <w:r>
              <w:rPr>
                <w:sz w:val="16"/>
              </w:rPr>
            </w:r>
            <w:r>
              <w:rPr>
                <w:rFonts w:ascii="Calibri" w:hAnsi="Calibri"/>
                <w:b w:val="0"/>
                <w:sz w:val="16"/>
              </w:rPr>
              <w:t>11-may-2026</w:t>
            </w:r>
          </w:p>
        </w:tc>
        <w:tc>
          <w:tcPr>
            <w:tcW w:type="dxa" w:w="1043"/>
          </w:tcPr>
          <w:p>
            <w:pPr>
              <w:spacing w:before="20" w:after="20"/>
            </w:pPr>
            <w:r>
              <w:rPr>
                <w:sz w:val="16"/>
              </w:rPr>
            </w:r>
            <w:r>
              <w:rPr>
                <w:rFonts w:ascii="Calibri" w:hAnsi="Calibri"/>
                <w:b w:val="0"/>
                <w:sz w:val="16"/>
              </w:rPr>
              <w:t>9231585</w:t>
            </w:r>
          </w:p>
        </w:tc>
        <w:tc>
          <w:tcPr>
            <w:tcW w:type="dxa" w:w="1043"/>
          </w:tcPr>
          <w:p>
            <w:pPr>
              <w:spacing w:before="20" w:after="20"/>
            </w:pPr>
            <w:r>
              <w:rPr>
                <w:sz w:val="16"/>
              </w:rPr>
            </w:r>
            <w:r>
              <w:rPr>
                <w:rFonts w:ascii="Calibri" w:hAnsi="Calibri"/>
                <w:b w:val="0"/>
                <w:sz w:val="16"/>
              </w:rPr>
              <w:t>19</w:t>
            </w:r>
          </w:p>
        </w:tc>
        <w:tc>
          <w:tcPr>
            <w:tcW w:type="dxa" w:w="1043"/>
          </w:tcPr>
          <w:p>
            <w:pPr>
              <w:spacing w:before="20" w:after="20"/>
            </w:pPr>
            <w:r>
              <w:rPr>
                <w:sz w:val="16"/>
              </w:rPr>
            </w:r>
            <w:r>
              <w:rPr>
                <w:rFonts w:ascii="Calibri" w:hAnsi="Calibri"/>
                <w:b w:val="0"/>
                <w:sz w:val="16"/>
              </w:rPr>
              <w:t>128,4</w:t>
            </w:r>
          </w:p>
        </w:tc>
        <w:tc>
          <w:tcPr>
            <w:tcW w:type="dxa" w:w="1043"/>
          </w:tcPr>
          <w:p>
            <w:pPr>
              <w:spacing w:before="20" w:after="20"/>
            </w:pPr>
            <w:r>
              <w:rPr>
                <w:sz w:val="16"/>
              </w:rPr>
            </w:r>
            <w:r>
              <w:rPr>
                <w:rFonts w:ascii="Calibri" w:hAnsi="Calibri"/>
                <w:b w:val="0"/>
                <w:sz w:val="16"/>
              </w:rPr>
              <w:t>0</w:t>
            </w:r>
          </w:p>
        </w:tc>
        <w:tc>
          <w:tcPr>
            <w:tcW w:type="dxa" w:w="1043"/>
          </w:tcPr>
          <w:p>
            <w:pPr>
              <w:spacing w:before="20" w:after="20"/>
            </w:pPr>
            <w:r>
              <w:rPr>
                <w:sz w:val="16"/>
              </w:rPr>
            </w:r>
            <w:r>
              <w:rPr>
                <w:rFonts w:ascii="Calibri" w:hAnsi="Calibri"/>
                <w:b w:val="0"/>
                <w:sz w:val="16"/>
              </w:rPr>
              <w:t>128,4</w:t>
            </w:r>
          </w:p>
        </w:tc>
        <w:tc>
          <w:tcPr>
            <w:tcW w:type="dxa" w:w="1043"/>
          </w:tcPr>
          <w:p>
            <w:pPr>
              <w:spacing w:before="20" w:after="20"/>
            </w:pPr>
            <w:r>
              <w:rPr>
                <w:sz w:val="16"/>
              </w:rPr>
            </w:r>
            <w:r>
              <w:rPr>
                <w:rFonts w:ascii="Calibri" w:hAnsi="Calibri"/>
                <w:b w:val="0"/>
                <w:sz w:val="16"/>
              </w:rPr>
              <w:t>-109,4</w:t>
            </w:r>
          </w:p>
        </w:tc>
        <w:tc>
          <w:tcPr>
            <w:tcW w:type="dxa" w:w="1043"/>
          </w:tcPr>
          <w:p>
            <w:pPr>
              <w:spacing w:before="20" w:after="20"/>
            </w:pPr>
            <w:r>
              <w:rPr>
                <w:sz w:val="16"/>
              </w:rPr>
            </w:r>
            <w:r>
              <w:rPr>
                <w:rFonts w:ascii="Calibri" w:hAnsi="Calibri"/>
                <w:b w:val="0"/>
                <w:sz w:val="16"/>
              </w:rPr>
              <w:t>-575,6</w:t>
            </w:r>
          </w:p>
        </w:tc>
        <w:tc>
          <w:tcPr>
            <w:tcW w:type="dxa" w:w="1043"/>
          </w:tcPr>
          <w:p>
            <w:pPr>
              <w:spacing w:before="20" w:after="20"/>
            </w:pPr>
            <w:r>
              <w:rPr>
                <w:sz w:val="16"/>
              </w:rPr>
            </w:r>
            <w:r>
              <w:rPr>
                <w:rFonts w:ascii="Calibri" w:hAnsi="Calibri"/>
                <w:b w:val="0"/>
                <w:sz w:val="16"/>
              </w:rPr>
              <w:t>$28.120</w:t>
            </w:r>
          </w:p>
        </w:tc>
      </w:tr>
      <w:tr>
        <w:trPr>
          <w:cantSplit/>
        </w:trPr>
        <w:tc>
          <w:tcPr>
            <w:tcW w:type="dxa" w:w="1043"/>
            <w:shd w:val="clear" w:fill="F2F6FC"/>
          </w:tcPr>
          <w:p>
            <w:pPr>
              <w:spacing w:before="20" w:after="20"/>
            </w:pPr>
            <w:r>
              <w:rPr>
                <w:sz w:val="16"/>
              </w:rPr>
            </w:r>
            <w:r>
              <w:rPr>
                <w:rFonts w:ascii="Calibri" w:hAnsi="Calibri"/>
                <w:b w:val="0"/>
                <w:sz w:val="16"/>
              </w:rPr>
              <w:t>04-may-2026 → 03-jun-2026</w:t>
            </w:r>
          </w:p>
        </w:tc>
        <w:tc>
          <w:tcPr>
            <w:tcW w:type="dxa" w:w="1043"/>
            <w:shd w:val="clear" w:fill="F2F6FC"/>
          </w:tcPr>
          <w:p>
            <w:pPr>
              <w:spacing w:before="20" w:after="20"/>
            </w:pPr>
            <w:r>
              <w:rPr>
                <w:sz w:val="16"/>
              </w:rPr>
            </w:r>
            <w:r>
              <w:rPr>
                <w:rFonts w:ascii="Calibri" w:hAnsi="Calibri"/>
                <w:b w:val="0"/>
                <w:sz w:val="16"/>
              </w:rPr>
              <w:t>09-jun-2026</w:t>
            </w:r>
          </w:p>
        </w:tc>
        <w:tc>
          <w:tcPr>
            <w:tcW w:type="dxa" w:w="1043"/>
            <w:shd w:val="clear" w:fill="F2F6FC"/>
          </w:tcPr>
          <w:p>
            <w:pPr>
              <w:spacing w:before="20" w:after="20"/>
            </w:pPr>
            <w:r>
              <w:rPr>
                <w:sz w:val="16"/>
              </w:rPr>
            </w:r>
            <w:r>
              <w:rPr>
                <w:rFonts w:ascii="Calibri" w:hAnsi="Calibri"/>
                <w:b w:val="0"/>
                <w:sz w:val="16"/>
              </w:rPr>
              <w:t>9289980</w:t>
            </w:r>
          </w:p>
        </w:tc>
        <w:tc>
          <w:tcPr>
            <w:tcW w:type="dxa" w:w="1043"/>
            <w:shd w:val="clear" w:fill="F2F6FC"/>
          </w:tcPr>
          <w:p>
            <w:pPr>
              <w:spacing w:before="20" w:after="20"/>
            </w:pPr>
            <w:r>
              <w:rPr>
                <w:sz w:val="16"/>
              </w:rPr>
            </w:r>
            <w:r>
              <w:rPr>
                <w:rFonts w:ascii="Calibri" w:hAnsi="Calibri"/>
                <w:b w:val="0"/>
                <w:sz w:val="16"/>
              </w:rPr>
              <w:t>36</w:t>
            </w:r>
          </w:p>
        </w:tc>
        <w:tc>
          <w:tcPr>
            <w:tcW w:type="dxa" w:w="1043"/>
            <w:shd w:val="clear" w:fill="F2F6FC"/>
          </w:tcPr>
          <w:p>
            <w:pPr>
              <w:spacing w:before="20" w:after="20"/>
            </w:pPr>
            <w:r>
              <w:rPr>
                <w:sz w:val="16"/>
              </w:rPr>
            </w:r>
            <w:r>
              <w:rPr>
                <w:rFonts w:ascii="Calibri" w:hAnsi="Calibri"/>
                <w:b w:val="0"/>
                <w:sz w:val="16"/>
              </w:rPr>
              <w:t>122,5</w:t>
            </w:r>
          </w:p>
        </w:tc>
        <w:tc>
          <w:tcPr>
            <w:tcW w:type="dxa" w:w="1043"/>
            <w:shd w:val="clear" w:fill="F2F6FC"/>
          </w:tcPr>
          <w:p>
            <w:pPr>
              <w:spacing w:before="20" w:after="20"/>
            </w:pPr>
            <w:r>
              <w:rPr>
                <w:sz w:val="16"/>
              </w:rPr>
            </w:r>
            <w:r>
              <w:rPr>
                <w:rFonts w:ascii="Calibri" w:hAnsi="Calibri"/>
                <w:b w:val="0"/>
                <w:sz w:val="16"/>
              </w:rPr>
              <w:t>0</w:t>
            </w:r>
          </w:p>
        </w:tc>
        <w:tc>
          <w:tcPr>
            <w:tcW w:type="dxa" w:w="1043"/>
            <w:shd w:val="clear" w:fill="F2F6FC"/>
          </w:tcPr>
          <w:p>
            <w:pPr>
              <w:spacing w:before="20" w:after="20"/>
            </w:pPr>
            <w:r>
              <w:rPr>
                <w:sz w:val="16"/>
              </w:rPr>
            </w:r>
            <w:r>
              <w:rPr>
                <w:rFonts w:ascii="Calibri" w:hAnsi="Calibri"/>
                <w:b w:val="0"/>
                <w:sz w:val="16"/>
              </w:rPr>
              <w:t>122,5</w:t>
            </w:r>
          </w:p>
        </w:tc>
        <w:tc>
          <w:tcPr>
            <w:tcW w:type="dxa" w:w="1043"/>
            <w:shd w:val="clear" w:fill="F2F6FC"/>
          </w:tcPr>
          <w:p>
            <w:pPr>
              <w:spacing w:before="20" w:after="20"/>
            </w:pPr>
            <w:r>
              <w:rPr>
                <w:sz w:val="16"/>
              </w:rPr>
            </w:r>
            <w:r>
              <w:rPr>
                <w:rFonts w:ascii="Calibri" w:hAnsi="Calibri"/>
                <w:b w:val="0"/>
                <w:sz w:val="16"/>
              </w:rPr>
              <w:t>-86,5</w:t>
            </w:r>
          </w:p>
        </w:tc>
        <w:tc>
          <w:tcPr>
            <w:tcW w:type="dxa" w:w="1043"/>
            <w:shd w:val="clear" w:fill="F2F6FC"/>
          </w:tcPr>
          <w:p>
            <w:pPr>
              <w:spacing w:before="20" w:after="20"/>
            </w:pPr>
            <w:r>
              <w:rPr>
                <w:sz w:val="16"/>
              </w:rPr>
            </w:r>
            <w:r>
              <w:rPr>
                <w:rFonts w:ascii="Calibri" w:hAnsi="Calibri"/>
                <w:b w:val="0"/>
                <w:sz w:val="16"/>
              </w:rPr>
              <w:t>-240,2</w:t>
            </w:r>
          </w:p>
        </w:tc>
        <w:tc>
          <w:tcPr>
            <w:tcW w:type="dxa" w:w="1043"/>
            <w:shd w:val="clear" w:fill="F2F6FC"/>
          </w:tcPr>
          <w:p>
            <w:pPr>
              <w:spacing w:before="20" w:after="20"/>
            </w:pPr>
            <w:r>
              <w:rPr>
                <w:sz w:val="16"/>
              </w:rPr>
            </w:r>
            <w:r>
              <w:rPr>
                <w:rFonts w:ascii="Calibri" w:hAnsi="Calibri"/>
                <w:b w:val="0"/>
                <w:sz w:val="16"/>
              </w:rPr>
              <w:t>$79.240</w:t>
            </w:r>
          </w:p>
        </w:tc>
      </w:tr>
      <w:tr>
        <w:trPr>
          <w:cantSplit/>
        </w:trPr>
        <w:tc>
          <w:tcPr>
            <w:tcW w:type="dxa" w:w="1043"/>
          </w:tcPr>
          <w:p>
            <w:pPr>
              <w:spacing w:before="20" w:after="20"/>
            </w:pPr>
            <w:r>
              <w:rPr>
                <w:sz w:val="16"/>
              </w:rPr>
            </w:r>
            <w:r>
              <w:rPr>
                <w:rFonts w:ascii="Calibri" w:hAnsi="Calibri"/>
                <w:b w:val="0"/>
                <w:sz w:val="16"/>
              </w:rPr>
              <w:t>03-jun-2026 → 03-jul-2026</w:t>
            </w:r>
          </w:p>
        </w:tc>
        <w:tc>
          <w:tcPr>
            <w:tcW w:type="dxa" w:w="1043"/>
          </w:tcPr>
          <w:p>
            <w:pPr>
              <w:spacing w:before="20" w:after="20"/>
            </w:pPr>
            <w:r>
              <w:rPr>
                <w:sz w:val="16"/>
              </w:rPr>
            </w:r>
            <w:r>
              <w:rPr>
                <w:rFonts w:ascii="Calibri" w:hAnsi="Calibri"/>
                <w:b w:val="0"/>
                <w:sz w:val="16"/>
              </w:rPr>
              <w:t>09-jul-2026</w:t>
            </w:r>
          </w:p>
        </w:tc>
        <w:tc>
          <w:tcPr>
            <w:tcW w:type="dxa" w:w="1043"/>
          </w:tcPr>
          <w:p>
            <w:pPr>
              <w:spacing w:before="20" w:after="20"/>
            </w:pPr>
            <w:r>
              <w:rPr>
                <w:sz w:val="16"/>
              </w:rPr>
            </w:r>
            <w:r>
              <w:rPr>
                <w:rFonts w:ascii="Calibri" w:hAnsi="Calibri"/>
                <w:b w:val="0"/>
                <w:sz w:val="16"/>
              </w:rPr>
              <w:t>9345231</w:t>
            </w:r>
          </w:p>
        </w:tc>
        <w:tc>
          <w:tcPr>
            <w:tcW w:type="dxa" w:w="1043"/>
          </w:tcPr>
          <w:p>
            <w:pPr>
              <w:spacing w:before="20" w:after="20"/>
            </w:pPr>
            <w:r>
              <w:rPr>
                <w:sz w:val="16"/>
              </w:rPr>
            </w:r>
            <w:r>
              <w:rPr>
                <w:rFonts w:ascii="Calibri" w:hAnsi="Calibri"/>
                <w:b w:val="0"/>
                <w:sz w:val="16"/>
              </w:rPr>
              <w:t>23</w:t>
            </w:r>
          </w:p>
        </w:tc>
        <w:tc>
          <w:tcPr>
            <w:tcW w:type="dxa" w:w="1043"/>
          </w:tcPr>
          <w:p>
            <w:pPr>
              <w:spacing w:before="20" w:after="20"/>
            </w:pPr>
            <w:r>
              <w:rPr>
                <w:sz w:val="16"/>
              </w:rPr>
            </w:r>
            <w:r>
              <w:rPr>
                <w:rFonts w:ascii="Calibri" w:hAnsi="Calibri"/>
                <w:b w:val="0"/>
                <w:sz w:val="16"/>
              </w:rPr>
              <w:t>67,6</w:t>
            </w:r>
          </w:p>
        </w:tc>
        <w:tc>
          <w:tcPr>
            <w:tcW w:type="dxa" w:w="1043"/>
          </w:tcPr>
          <w:p>
            <w:pPr>
              <w:spacing w:before="20" w:after="20"/>
            </w:pPr>
            <w:r>
              <w:rPr>
                <w:sz w:val="16"/>
              </w:rPr>
            </w:r>
            <w:r>
              <w:rPr>
                <w:rFonts w:ascii="Calibri" w:hAnsi="Calibri"/>
                <w:b w:val="0"/>
                <w:sz w:val="16"/>
              </w:rPr>
              <w:t>0</w:t>
            </w:r>
          </w:p>
        </w:tc>
        <w:tc>
          <w:tcPr>
            <w:tcW w:type="dxa" w:w="1043"/>
          </w:tcPr>
          <w:p>
            <w:pPr>
              <w:spacing w:before="20" w:after="20"/>
            </w:pPr>
            <w:r>
              <w:rPr>
                <w:sz w:val="16"/>
              </w:rPr>
            </w:r>
            <w:r>
              <w:rPr>
                <w:rFonts w:ascii="Calibri" w:hAnsi="Calibri"/>
                <w:b w:val="0"/>
                <w:sz w:val="16"/>
              </w:rPr>
              <w:t>67,6</w:t>
            </w:r>
          </w:p>
        </w:tc>
        <w:tc>
          <w:tcPr>
            <w:tcW w:type="dxa" w:w="1043"/>
          </w:tcPr>
          <w:p>
            <w:pPr>
              <w:spacing w:before="20" w:after="20"/>
            </w:pPr>
            <w:r>
              <w:rPr>
                <w:sz w:val="16"/>
              </w:rPr>
            </w:r>
            <w:r>
              <w:rPr>
                <w:rFonts w:ascii="Calibri" w:hAnsi="Calibri"/>
                <w:b w:val="0"/>
                <w:sz w:val="16"/>
              </w:rPr>
              <w:t>-44,6</w:t>
            </w:r>
          </w:p>
        </w:tc>
        <w:tc>
          <w:tcPr>
            <w:tcW w:type="dxa" w:w="1043"/>
          </w:tcPr>
          <w:p>
            <w:pPr>
              <w:spacing w:before="20" w:after="20"/>
            </w:pPr>
            <w:r>
              <w:rPr>
                <w:sz w:val="16"/>
              </w:rPr>
            </w:r>
            <w:r>
              <w:rPr>
                <w:rFonts w:ascii="Calibri" w:hAnsi="Calibri"/>
                <w:b w:val="0"/>
                <w:sz w:val="16"/>
              </w:rPr>
              <w:t>-194,0</w:t>
            </w:r>
          </w:p>
        </w:tc>
        <w:tc>
          <w:tcPr>
            <w:tcW w:type="dxa" w:w="1043"/>
          </w:tcPr>
          <w:p>
            <w:pPr>
              <w:spacing w:before="20" w:after="20"/>
            </w:pPr>
            <w:r>
              <w:rPr>
                <w:sz w:val="16"/>
              </w:rPr>
            </w:r>
            <w:r>
              <w:rPr>
                <w:rFonts w:ascii="Calibri" w:hAnsi="Calibri"/>
                <w:b w:val="0"/>
                <w:sz w:val="16"/>
              </w:rPr>
              <w:t>$33.090</w:t>
            </w:r>
          </w:p>
        </w:tc>
      </w:tr>
      <w:tr>
        <w:trPr>
          <w:cantSplit/>
        </w:trPr>
        <w:tc>
          <w:tcPr>
            <w:tcW w:type="dxa" w:w="1043"/>
            <w:shd w:val="clear" w:fill="F2F6FC"/>
          </w:tcPr>
          <w:p>
            <w:pPr>
              <w:spacing w:before="20" w:after="20"/>
            </w:pPr>
            <w:r>
              <w:rPr>
                <w:sz w:val="16"/>
              </w:rPr>
            </w:r>
            <w:r>
              <w:rPr>
                <w:rFonts w:ascii="Calibri" w:hAnsi="Calibri"/>
                <w:b w:val="0"/>
                <w:sz w:val="16"/>
              </w:rPr>
              <w:t>03-jul-2026 → 03-ago-2026</w:t>
            </w:r>
          </w:p>
        </w:tc>
        <w:tc>
          <w:tcPr>
            <w:tcW w:type="dxa" w:w="1043"/>
            <w:shd w:val="clear" w:fill="F2F6FC"/>
          </w:tcPr>
          <w:p>
            <w:pPr>
              <w:spacing w:before="20" w:after="20"/>
            </w:pPr>
            <w:r>
              <w:rPr>
                <w:sz w:val="16"/>
              </w:rPr>
            </w:r>
            <w:r>
              <w:rPr>
                <w:rFonts w:ascii="Calibri" w:hAnsi="Calibri"/>
                <w:b w:val="0"/>
                <w:sz w:val="16"/>
              </w:rPr>
              <w:t>10-ago-2026</w:t>
            </w:r>
          </w:p>
        </w:tc>
        <w:tc>
          <w:tcPr>
            <w:tcW w:type="dxa" w:w="1043"/>
            <w:shd w:val="clear" w:fill="F2F6FC"/>
          </w:tcPr>
          <w:p>
            <w:pPr>
              <w:spacing w:before="20" w:after="20"/>
            </w:pPr>
            <w:r>
              <w:rPr>
                <w:sz w:val="16"/>
              </w:rPr>
            </w:r>
            <w:r>
              <w:rPr>
                <w:rFonts w:ascii="Calibri" w:hAnsi="Calibri"/>
                <w:b w:val="0"/>
                <w:sz w:val="16"/>
              </w:rPr>
              <w:t>9403874</w:t>
            </w:r>
          </w:p>
        </w:tc>
        <w:tc>
          <w:tcPr>
            <w:tcW w:type="dxa" w:w="1043"/>
            <w:shd w:val="clear" w:fill="F2F6FC"/>
          </w:tcPr>
          <w:p>
            <w:pPr>
              <w:spacing w:before="20" w:after="20"/>
            </w:pPr>
            <w:r>
              <w:rPr>
                <w:sz w:val="16"/>
              </w:rPr>
            </w:r>
            <w:r>
              <w:rPr>
                <w:rFonts w:ascii="Calibri" w:hAnsi="Calibri"/>
                <w:b w:val="0"/>
                <w:sz w:val="16"/>
              </w:rPr>
              <w:t>35</w:t>
            </w:r>
          </w:p>
        </w:tc>
        <w:tc>
          <w:tcPr>
            <w:tcW w:type="dxa" w:w="1043"/>
            <w:shd w:val="clear" w:fill="F2F6FC"/>
          </w:tcPr>
          <w:p>
            <w:pPr>
              <w:spacing w:before="20" w:after="20"/>
            </w:pPr>
            <w:r>
              <w:rPr>
                <w:sz w:val="16"/>
              </w:rPr>
            </w:r>
            <w:r>
              <w:rPr>
                <w:rFonts w:ascii="Calibri" w:hAnsi="Calibri"/>
                <w:b w:val="0"/>
                <w:sz w:val="16"/>
              </w:rPr>
              <w:t>101,6</w:t>
            </w:r>
          </w:p>
        </w:tc>
        <w:tc>
          <w:tcPr>
            <w:tcW w:type="dxa" w:w="1043"/>
            <w:shd w:val="clear" w:fill="F2F6FC"/>
          </w:tcPr>
          <w:p>
            <w:pPr>
              <w:spacing w:before="20" w:after="20"/>
            </w:pPr>
            <w:r>
              <w:rPr>
                <w:sz w:val="16"/>
              </w:rPr>
            </w:r>
            <w:r>
              <w:rPr>
                <w:rFonts w:ascii="Calibri" w:hAnsi="Calibri"/>
                <w:b w:val="0"/>
                <w:sz w:val="16"/>
              </w:rPr>
              <w:t>0</w:t>
            </w:r>
          </w:p>
        </w:tc>
        <w:tc>
          <w:tcPr>
            <w:tcW w:type="dxa" w:w="1043"/>
            <w:shd w:val="clear" w:fill="F2F6FC"/>
          </w:tcPr>
          <w:p>
            <w:pPr>
              <w:spacing w:before="20" w:after="20"/>
            </w:pPr>
            <w:r>
              <w:rPr>
                <w:sz w:val="16"/>
              </w:rPr>
            </w:r>
            <w:r>
              <w:rPr>
                <w:rFonts w:ascii="Calibri" w:hAnsi="Calibri"/>
                <w:b w:val="0"/>
                <w:sz w:val="16"/>
              </w:rPr>
              <w:t>101,6</w:t>
            </w:r>
          </w:p>
        </w:tc>
        <w:tc>
          <w:tcPr>
            <w:tcW w:type="dxa" w:w="1043"/>
            <w:shd w:val="clear" w:fill="F2F6FC"/>
          </w:tcPr>
          <w:p>
            <w:pPr>
              <w:spacing w:before="20" w:after="20"/>
            </w:pPr>
            <w:r>
              <w:rPr>
                <w:sz w:val="16"/>
              </w:rPr>
            </w:r>
            <w:r>
              <w:rPr>
                <w:rFonts w:ascii="Calibri" w:hAnsi="Calibri"/>
                <w:b w:val="0"/>
                <w:sz w:val="16"/>
              </w:rPr>
              <w:t>-66,6</w:t>
            </w:r>
          </w:p>
        </w:tc>
        <w:tc>
          <w:tcPr>
            <w:tcW w:type="dxa" w:w="1043"/>
            <w:shd w:val="clear" w:fill="F2F6FC"/>
          </w:tcPr>
          <w:p>
            <w:pPr>
              <w:spacing w:before="20" w:after="20"/>
            </w:pPr>
            <w:r>
              <w:rPr>
                <w:sz w:val="16"/>
              </w:rPr>
            </w:r>
            <w:r>
              <w:rPr>
                <w:rFonts w:ascii="Calibri" w:hAnsi="Calibri"/>
                <w:b w:val="0"/>
                <w:sz w:val="16"/>
              </w:rPr>
              <w:t>-190,2</w:t>
            </w:r>
          </w:p>
        </w:tc>
        <w:tc>
          <w:tcPr>
            <w:tcW w:type="dxa" w:w="1043"/>
            <w:shd w:val="clear" w:fill="F2F6FC"/>
          </w:tcPr>
          <w:p>
            <w:pPr>
              <w:spacing w:before="20" w:after="20"/>
            </w:pPr>
            <w:r>
              <w:rPr>
                <w:sz w:val="16"/>
              </w:rPr>
            </w:r>
            <w:r>
              <w:rPr>
                <w:rFonts w:ascii="Calibri" w:hAnsi="Calibri"/>
                <w:b w:val="0"/>
                <w:sz w:val="16"/>
              </w:rPr>
              <w:t>$43.560</w:t>
            </w:r>
          </w:p>
        </w:tc>
      </w:tr>
      <w:tr>
        <w:trPr>
          <w:cantSplit/>
        </w:trPr>
        <w:tc>
          <w:tcPr>
            <w:tcW w:type="dxa" w:w="1043"/>
          </w:tcPr>
          <w:p>
            <w:pPr>
              <w:spacing w:before="20" w:after="20"/>
            </w:pPr>
            <w:r>
              <w:rPr>
                <w:sz w:val="16"/>
              </w:rPr>
            </w:r>
            <w:r>
              <w:rPr>
                <w:rFonts w:ascii="Calibri" w:hAnsi="Calibri"/>
                <w:b w:val="0"/>
                <w:sz w:val="16"/>
              </w:rPr>
              <w:t>03-ago-2026 → 03-sep-2026</w:t>
            </w:r>
          </w:p>
        </w:tc>
        <w:tc>
          <w:tcPr>
            <w:tcW w:type="dxa" w:w="1043"/>
          </w:tcPr>
          <w:p>
            <w:pPr>
              <w:spacing w:before="20" w:after="20"/>
            </w:pPr>
            <w:r>
              <w:rPr>
                <w:sz w:val="16"/>
              </w:rPr>
            </w:r>
            <w:r>
              <w:rPr>
                <w:rFonts w:ascii="Calibri" w:hAnsi="Calibri"/>
                <w:b w:val="0"/>
                <w:sz w:val="16"/>
              </w:rPr>
              <w:t>09-sep-2026</w:t>
            </w:r>
          </w:p>
        </w:tc>
        <w:tc>
          <w:tcPr>
            <w:tcW w:type="dxa" w:w="1043"/>
          </w:tcPr>
          <w:p>
            <w:pPr>
              <w:spacing w:before="20" w:after="20"/>
            </w:pPr>
            <w:r>
              <w:rPr>
                <w:sz w:val="16"/>
              </w:rPr>
            </w:r>
            <w:r>
              <w:rPr>
                <w:rFonts w:ascii="Calibri" w:hAnsi="Calibri"/>
                <w:b w:val="0"/>
                <w:sz w:val="16"/>
              </w:rPr>
              <w:t>9458934 *</w:t>
            </w:r>
          </w:p>
        </w:tc>
        <w:tc>
          <w:tcPr>
            <w:tcW w:type="dxa" w:w="1043"/>
          </w:tcPr>
          <w:p>
            <w:pPr>
              <w:spacing w:before="20" w:after="20"/>
            </w:pPr>
            <w:r>
              <w:rPr>
                <w:sz w:val="16"/>
              </w:rPr>
            </w:r>
            <w:r>
              <w:rPr>
                <w:rFonts w:ascii="Calibri" w:hAnsi="Calibri"/>
                <w:b w:val="0"/>
                <w:sz w:val="16"/>
              </w:rPr>
              <w:t>26</w:t>
            </w:r>
          </w:p>
        </w:tc>
        <w:tc>
          <w:tcPr>
            <w:tcW w:type="dxa" w:w="1043"/>
          </w:tcPr>
          <w:p>
            <w:pPr>
              <w:spacing w:before="20" w:after="20"/>
            </w:pPr>
            <w:r>
              <w:rPr>
                <w:sz w:val="16"/>
              </w:rPr>
            </w:r>
            <w:r>
              <w:rPr>
                <w:rFonts w:ascii="Calibri" w:hAnsi="Calibri"/>
                <w:b w:val="0"/>
                <w:sz w:val="16"/>
              </w:rPr>
              <w:t>112,8</w:t>
            </w:r>
          </w:p>
        </w:tc>
        <w:tc>
          <w:tcPr>
            <w:tcW w:type="dxa" w:w="1043"/>
          </w:tcPr>
          <w:p>
            <w:pPr>
              <w:spacing w:before="20" w:after="20"/>
            </w:pPr>
            <w:r>
              <w:rPr>
                <w:sz w:val="16"/>
              </w:rPr>
            </w:r>
            <w:r>
              <w:rPr>
                <w:rFonts w:ascii="Calibri" w:hAnsi="Calibri"/>
                <w:b w:val="0"/>
                <w:sz w:val="16"/>
              </w:rPr>
              <w:t>0</w:t>
            </w:r>
          </w:p>
        </w:tc>
        <w:tc>
          <w:tcPr>
            <w:tcW w:type="dxa" w:w="1043"/>
          </w:tcPr>
          <w:p>
            <w:pPr>
              <w:spacing w:before="20" w:after="20"/>
            </w:pPr>
            <w:r>
              <w:rPr>
                <w:sz w:val="16"/>
              </w:rPr>
            </w:r>
            <w:r>
              <w:rPr>
                <w:rFonts w:ascii="Calibri" w:hAnsi="Calibri"/>
                <w:b w:val="0"/>
                <w:sz w:val="16"/>
              </w:rPr>
              <w:t>—</w:t>
            </w:r>
          </w:p>
        </w:tc>
        <w:tc>
          <w:tcPr>
            <w:tcW w:type="dxa" w:w="1043"/>
          </w:tcPr>
          <w:p>
            <w:pPr>
              <w:spacing w:before="20" w:after="20"/>
            </w:pPr>
            <w:r>
              <w:rPr>
                <w:sz w:val="16"/>
              </w:rPr>
            </w:r>
            <w:r>
              <w:rPr>
                <w:rFonts w:ascii="Calibri" w:hAnsi="Calibri"/>
                <w:b w:val="0"/>
                <w:sz w:val="16"/>
              </w:rPr>
              <w:t>—</w:t>
            </w:r>
          </w:p>
        </w:tc>
        <w:tc>
          <w:tcPr>
            <w:tcW w:type="dxa" w:w="1043"/>
          </w:tcPr>
          <w:p>
            <w:pPr>
              <w:spacing w:before="20" w:after="20"/>
            </w:pPr>
            <w:r>
              <w:rPr>
                <w:sz w:val="16"/>
              </w:rPr>
            </w:r>
            <w:r>
              <w:rPr>
                <w:rFonts w:ascii="Calibri" w:hAnsi="Calibri"/>
                <w:b w:val="0"/>
                <w:sz w:val="16"/>
              </w:rPr>
              <w:t>—</w:t>
            </w:r>
          </w:p>
        </w:tc>
        <w:tc>
          <w:tcPr>
            <w:tcW w:type="dxa" w:w="1043"/>
          </w:tcPr>
          <w:p>
            <w:pPr>
              <w:spacing w:before="20" w:after="20"/>
            </w:pPr>
            <w:r>
              <w:rPr>
                <w:sz w:val="16"/>
              </w:rPr>
            </w:r>
            <w:r>
              <w:rPr>
                <w:rFonts w:ascii="Calibri" w:hAnsi="Calibri"/>
                <w:b w:val="0"/>
                <w:sz w:val="16"/>
              </w:rPr>
              <w:t>$31.780</w:t>
            </w:r>
          </w:p>
        </w:tc>
      </w:tr>
      <w:tr>
        <w:trPr>
          <w:cantSplit/>
        </w:trPr>
        <w:tc>
          <w:tcPr>
            <w:tcW w:type="dxa" w:w="1043"/>
            <w:shd w:val="clear" w:fill="D9E1F2"/>
          </w:tcPr>
          <w:p>
            <w:pPr>
              <w:spacing w:before="20" w:after="20"/>
            </w:pPr>
            <w:r>
              <w:rPr>
                <w:b/>
                <w:sz w:val="16"/>
              </w:rPr>
            </w:r>
            <w:r>
              <w:rPr>
                <w:rFonts w:ascii="Calibri" w:hAnsi="Calibri"/>
                <w:b/>
                <w:sz w:val="16"/>
              </w:rPr>
              <w:t>TOTAL lecturas reales</w:t>
            </w:r>
          </w:p>
        </w:tc>
        <w:tc>
          <w:tcPr>
            <w:tcW w:type="dxa" w:w="1043"/>
            <w:shd w:val="clear" w:fill="D9E1F2"/>
          </w:tcPr>
          <w:p>
            <w:pPr>
              <w:spacing w:before="20" w:after="20"/>
            </w:pPr>
            <w:r>
              <w:rPr>
                <w:b/>
                <w:sz w:val="16"/>
              </w:rPr>
            </w:r>
            <w:r>
              <w:rPr>
                <w:rFonts w:ascii="Calibri" w:hAnsi="Calibri"/>
                <w:b/>
                <w:sz w:val="16"/>
              </w:rPr>
            </w:r>
          </w:p>
        </w:tc>
        <w:tc>
          <w:tcPr>
            <w:tcW w:type="dxa" w:w="1043"/>
            <w:shd w:val="clear" w:fill="D9E1F2"/>
          </w:tcPr>
          <w:p>
            <w:pPr>
              <w:spacing w:before="20" w:after="20"/>
            </w:pPr>
            <w:r>
              <w:rPr>
                <w:b/>
                <w:sz w:val="16"/>
              </w:rPr>
            </w:r>
            <w:r>
              <w:rPr>
                <w:rFonts w:ascii="Calibri" w:hAnsi="Calibri"/>
                <w:b/>
                <w:sz w:val="16"/>
              </w:rPr>
            </w:r>
          </w:p>
        </w:tc>
        <w:tc>
          <w:tcPr>
            <w:tcW w:type="dxa" w:w="1043"/>
            <w:shd w:val="clear" w:fill="D9E1F2"/>
          </w:tcPr>
          <w:p>
            <w:pPr>
              <w:spacing w:before="20" w:after="20"/>
            </w:pPr>
            <w:r>
              <w:rPr>
                <w:b/>
                <w:sz w:val="16"/>
              </w:rPr>
            </w:r>
            <w:r>
              <w:rPr>
                <w:rFonts w:ascii="Calibri" w:hAnsi="Calibri"/>
                <w:b/>
                <w:sz w:val="16"/>
              </w:rPr>
              <w:t>196</w:t>
            </w:r>
          </w:p>
        </w:tc>
        <w:tc>
          <w:tcPr>
            <w:tcW w:type="dxa" w:w="1043"/>
            <w:shd w:val="clear" w:fill="D9E1F2"/>
          </w:tcPr>
          <w:p>
            <w:pPr>
              <w:spacing w:before="20" w:after="20"/>
            </w:pPr>
            <w:r>
              <w:rPr>
                <w:b/>
                <w:sz w:val="16"/>
              </w:rPr>
            </w:r>
            <w:r>
              <w:rPr>
                <w:rFonts w:ascii="Calibri" w:hAnsi="Calibri"/>
                <w:b/>
                <w:sz w:val="16"/>
              </w:rPr>
              <w:t>828,6</w:t>
            </w:r>
          </w:p>
        </w:tc>
        <w:tc>
          <w:tcPr>
            <w:tcW w:type="dxa" w:w="1043"/>
            <w:shd w:val="clear" w:fill="D9E1F2"/>
          </w:tcPr>
          <w:p>
            <w:pPr>
              <w:spacing w:before="20" w:after="20"/>
            </w:pPr>
            <w:r>
              <w:rPr>
                <w:b/>
                <w:sz w:val="16"/>
              </w:rPr>
            </w:r>
            <w:r>
              <w:rPr>
                <w:rFonts w:ascii="Calibri" w:hAnsi="Calibri"/>
                <w:b/>
                <w:sz w:val="16"/>
              </w:rPr>
              <w:t>39</w:t>
            </w:r>
          </w:p>
        </w:tc>
        <w:tc>
          <w:tcPr>
            <w:tcW w:type="dxa" w:w="1043"/>
            <w:shd w:val="clear" w:fill="D9E1F2"/>
          </w:tcPr>
          <w:p>
            <w:pPr>
              <w:spacing w:before="20" w:after="20"/>
            </w:pPr>
            <w:r>
              <w:rPr>
                <w:b/>
                <w:sz w:val="16"/>
              </w:rPr>
            </w:r>
            <w:r>
              <w:rPr>
                <w:rFonts w:ascii="Calibri" w:hAnsi="Calibri"/>
                <w:b/>
                <w:sz w:val="16"/>
              </w:rPr>
              <w:t>1.003,2</w:t>
            </w:r>
          </w:p>
        </w:tc>
        <w:tc>
          <w:tcPr>
            <w:tcW w:type="dxa" w:w="1043"/>
            <w:shd w:val="clear" w:fill="D9E1F2"/>
          </w:tcPr>
          <w:p>
            <w:pPr>
              <w:spacing w:before="20" w:after="20"/>
            </w:pPr>
            <w:r>
              <w:rPr>
                <w:b/>
                <w:sz w:val="16"/>
              </w:rPr>
            </w:r>
            <w:r>
              <w:rPr>
                <w:rFonts w:ascii="Calibri" w:hAnsi="Calibri"/>
                <w:b/>
                <w:sz w:val="16"/>
              </w:rPr>
              <w:t>-807,2</w:t>
            </w:r>
          </w:p>
        </w:tc>
        <w:tc>
          <w:tcPr>
            <w:tcW w:type="dxa" w:w="1043"/>
            <w:shd w:val="clear" w:fill="D9E1F2"/>
          </w:tcPr>
          <w:p>
            <w:pPr>
              <w:spacing w:before="20" w:after="20"/>
            </w:pPr>
            <w:r>
              <w:rPr>
                <w:b/>
                <w:sz w:val="16"/>
              </w:rPr>
            </w:r>
            <w:r>
              <w:rPr>
                <w:rFonts w:ascii="Calibri" w:hAnsi="Calibri"/>
                <w:b/>
                <w:sz w:val="16"/>
              </w:rPr>
              <w:t>-411,8</w:t>
            </w:r>
          </w:p>
        </w:tc>
        <w:tc>
          <w:tcPr>
            <w:tcW w:type="dxa" w:w="1043"/>
            <w:shd w:val="clear" w:fill="D9E1F2"/>
          </w:tcPr>
          <w:p>
            <w:pPr>
              <w:spacing w:before="20" w:after="20"/>
            </w:pPr>
            <w:r>
              <w:rPr>
                <w:b/>
                <w:sz w:val="16"/>
              </w:rPr>
            </w:r>
            <w:r>
              <w:rPr>
                <w:rFonts w:ascii="Calibri" w:hAnsi="Calibri"/>
                <w:b/>
                <w:sz w:val="16"/>
              </w:rPr>
              <w:t>$338.330</w:t>
            </w:r>
          </w:p>
        </w:tc>
      </w:tr>
    </w:tbl>
    <w:p>
      <w:pPr>
        <w:spacing w:after="120" w:before="0"/>
      </w:pPr>
      <w:r>
        <w:rPr>
          <w:rFonts w:ascii="Calibri" w:hAnsi="Calibri"/>
          <w:b w:val="0"/>
          <w:color w:val="1E293B"/>
          <w:sz w:val="18"/>
        </w:rPr>
        <w:t>* Boleta a promedio / estimado: no se suma al total ni se grafica. Los tres primeros períodos tienen días sin dato en la API; la columna m³ WES+proy incorpora esa proyección.</w:t>
      </w:r>
    </w:p>
    <w:p>
      <w:pPr>
        <w:pStyle w:val="Heading1"/>
        <w:keepNext/>
        <w:widowControl/>
        <w:spacing w:after="60"/>
      </w:pPr>
      <w:r>
        <w:rPr>
          <w:b/>
          <w:color w:val="003366"/>
        </w:rPr>
        <w:t>4. GRÁFICOS</w:t>
      </w:r>
    </w:p>
    <w:p>
      <w:pPr>
        <w:pStyle w:val="Heading2"/>
        <w:keepNext/>
        <w:widowControl/>
        <w:spacing w:after="60"/>
      </w:pPr>
      <w:r>
        <w:rPr>
          <w:b/>
          <w:color w:val="003366"/>
        </w:rPr>
        <w:t>4.1 FACTURACIÓN Y CONSUMO WES</w:t>
      </w:r>
    </w:p>
    <w:p>
      <w:pPr>
        <w:spacing w:after="120" w:before="0"/>
      </w:pPr>
      <w:r>
        <w:rPr>
          <w:rFonts w:ascii="Calibri" w:hAnsi="Calibri"/>
          <w:b w:val="0"/>
          <w:color w:val="1E293B"/>
          <w:sz w:val="22"/>
        </w:rPr>
        <w:t>Cada barra agrupa el mes de emisión de la boleta. En naranja, los m³ de la lectura real; en azul, el consumo WES del mismo intervalo, con la proyección de huecos cuando corresponde.</w:t>
      </w:r>
    </w:p>
    <w:p>
      <w:pPr>
        <w:keepNext/>
        <w:widowControl/>
        <w:spacing w:after="60"/>
        <w:jc w:val="center"/>
      </w:pPr>
      <w:r>
        <w:drawing>
          <wp:inline xmlns:a="http://schemas.openxmlformats.org/drawingml/2006/main" xmlns:pic="http://schemas.openxmlformats.org/drawingml/2006/picture">
            <wp:extent cx="5760720" cy="2680731"/>
            <wp:docPr id="1" name="Picture 1"/>
            <wp:cNvGraphicFramePr>
              <a:graphicFrameLocks noChangeAspect="1"/>
            </wp:cNvGraphicFramePr>
            <a:graphic>
              <a:graphicData uri="http://schemas.openxmlformats.org/drawingml/2006/picture">
                <pic:pic>
                  <pic:nvPicPr>
                    <pic:cNvPr id="0" name="jp2_historico_facturacion_vs_wes_20260924_1350.png"/>
                    <pic:cNvPicPr/>
                  </pic:nvPicPr>
                  <pic:blipFill>
                    <a:blip r:embed="rId10"/>
                    <a:stretch>
                      <a:fillRect/>
                    </a:stretch>
                  </pic:blipFill>
                  <pic:spPr>
                    <a:xfrm>
                      <a:off x="0" y="0"/>
                      <a:ext cx="5760720" cy="2680731"/>
                    </a:xfrm>
                    <a:prstGeom prst="rect"/>
                  </pic:spPr>
                </pic:pic>
              </a:graphicData>
            </a:graphic>
          </wp:inline>
        </w:drawing>
      </w:r>
    </w:p>
    <w:p>
      <w:pPr>
        <w:pStyle w:val="Heading2"/>
        <w:keepNext/>
        <w:widowControl/>
        <w:spacing w:after="60"/>
      </w:pPr>
      <w:r>
        <w:rPr>
          <w:b/>
          <w:color w:val="003366"/>
        </w:rPr>
        <w:t>4.2 DIFERENCIA MENSUAL</w:t>
      </w:r>
    </w:p>
    <w:p>
      <w:pPr>
        <w:spacing w:after="120" w:before="0"/>
      </w:pPr>
      <w:r>
        <w:rPr>
          <w:rFonts w:ascii="Calibri" w:hAnsi="Calibri"/>
          <w:b w:val="0"/>
          <w:color w:val="1E293B"/>
          <w:sz w:val="22"/>
        </w:rPr>
        <w:t>La diferencia mensual es m³ facturados menos m³ WES (con proyección de huecos). Un valor positivo sería un volumen facturado por sobre el registro WES. En Juan Pablo II todos los meses válidos son negativos: WES queda por encima de la cuenta. Esa brecha no debe leerse como ahorro de agua del establecimiento.</w:t>
      </w:r>
    </w:p>
    <w:p>
      <w:pPr>
        <w:keepNext/>
        <w:widowControl/>
        <w:spacing w:after="60"/>
        <w:jc w:val="center"/>
      </w:pPr>
      <w:r>
        <w:drawing>
          <wp:inline xmlns:a="http://schemas.openxmlformats.org/drawingml/2006/main" xmlns:pic="http://schemas.openxmlformats.org/drawingml/2006/picture">
            <wp:extent cx="5760720" cy="2680731"/>
            <wp:docPr id="2" name="Picture 2"/>
            <wp:cNvGraphicFramePr>
              <a:graphicFrameLocks noChangeAspect="1"/>
            </wp:cNvGraphicFramePr>
            <a:graphic>
              <a:graphicData uri="http://schemas.openxmlformats.org/drawingml/2006/picture">
                <pic:pic>
                  <pic:nvPicPr>
                    <pic:cNvPr id="0" name="jp2_diferencia_mensual_20260924_1350.png"/>
                    <pic:cNvPicPr/>
                  </pic:nvPicPr>
                  <pic:blipFill>
                    <a:blip r:embed="rId11"/>
                    <a:stretch>
                      <a:fillRect/>
                    </a:stretch>
                  </pic:blipFill>
                  <pic:spPr>
                    <a:xfrm>
                      <a:off x="0" y="0"/>
                      <a:ext cx="5760720" cy="2680731"/>
                    </a:xfrm>
                    <a:prstGeom prst="rect"/>
                  </pic:spPr>
                </pic:pic>
              </a:graphicData>
            </a:graphic>
          </wp:inline>
        </w:drawing>
      </w:r>
    </w:p>
    <w:p>
      <w:pPr>
        <w:pStyle w:val="Heading2"/>
        <w:keepNext/>
        <w:widowControl/>
        <w:spacing w:after="60"/>
      </w:pPr>
      <w:r>
        <w:rPr>
          <w:b/>
          <w:color w:val="003366"/>
        </w:rPr>
        <w:t>4.3 VALORIZACIÓN DE LA DIFERENCIA</w:t>
      </w:r>
    </w:p>
    <w:p>
      <w:pPr>
        <w:spacing w:after="120" w:before="0"/>
      </w:pPr>
      <w:r>
        <w:rPr>
          <w:rFonts w:ascii="Calibri" w:hAnsi="Calibri"/>
          <w:b w:val="0"/>
          <w:color w:val="1E293B"/>
          <w:sz w:val="22"/>
        </w:rPr>
        <w:t>La misma diferencia, en pesos, a $1.270 por m³. Sirve para dimensionar la brecha. No reemplaza el total a pagar de la boleta.</w:t>
      </w:r>
    </w:p>
    <w:p>
      <w:pPr>
        <w:keepNext/>
        <w:widowControl/>
        <w:spacing w:after="60"/>
        <w:jc w:val="center"/>
      </w:pPr>
      <w:r>
        <w:drawing>
          <wp:inline xmlns:a="http://schemas.openxmlformats.org/drawingml/2006/main" xmlns:pic="http://schemas.openxmlformats.org/drawingml/2006/picture">
            <wp:extent cx="5760720" cy="2680731"/>
            <wp:docPr id="3" name="Picture 3"/>
            <wp:cNvGraphicFramePr>
              <a:graphicFrameLocks noChangeAspect="1"/>
            </wp:cNvGraphicFramePr>
            <a:graphic>
              <a:graphicData uri="http://schemas.openxmlformats.org/drawingml/2006/picture">
                <pic:pic>
                  <pic:nvPicPr>
                    <pic:cNvPr id="0" name="jp2_valorizacion_diferencia_20260924_1350.png"/>
                    <pic:cNvPicPr/>
                  </pic:nvPicPr>
                  <pic:blipFill>
                    <a:blip r:embed="rId12"/>
                    <a:stretch>
                      <a:fillRect/>
                    </a:stretch>
                  </pic:blipFill>
                  <pic:spPr>
                    <a:xfrm>
                      <a:off x="0" y="0"/>
                      <a:ext cx="5760720" cy="2680731"/>
                    </a:xfrm>
                    <a:prstGeom prst="rect"/>
                  </pic:spPr>
                </pic:pic>
              </a:graphicData>
            </a:graphic>
          </wp:inline>
        </w:drawing>
      </w:r>
    </w:p>
    <w:p>
      <w:pPr>
        <w:pStyle w:val="Heading2"/>
        <w:keepNext/>
        <w:widowControl/>
        <w:spacing w:after="60"/>
      </w:pPr>
      <w:r>
        <w:rPr>
          <w:b/>
          <w:color w:val="003366"/>
        </w:rPr>
        <w:t>4.4 HISTÓRICO MENSUAL DEL NODO WES</w:t>
      </w:r>
    </w:p>
    <w:p>
      <w:pPr>
        <w:spacing w:after="120" w:before="0"/>
      </w:pPr>
      <w:r>
        <w:rPr>
          <w:rFonts w:ascii="Calibri" w:hAnsi="Calibri"/>
          <w:b w:val="0"/>
          <w:color w:val="1E293B"/>
          <w:sz w:val="22"/>
        </w:rPr>
        <w:t>Consumo mensual que devuelve la API del nodo, independiente del corte de la boleta. Los meses de vacaciones y los primeros meses de medición quedan bajos o en cero.</w:t>
      </w:r>
    </w:p>
    <w:p>
      <w:pPr>
        <w:keepNext/>
        <w:widowControl/>
        <w:spacing w:after="60"/>
        <w:jc w:val="center"/>
      </w:pPr>
      <w:r>
        <w:drawing>
          <wp:inline xmlns:a="http://schemas.openxmlformats.org/drawingml/2006/main" xmlns:pic="http://schemas.openxmlformats.org/drawingml/2006/picture">
            <wp:extent cx="5760720" cy="2566657"/>
            <wp:docPr id="4" name="Picture 4"/>
            <wp:cNvGraphicFramePr>
              <a:graphicFrameLocks noChangeAspect="1"/>
            </wp:cNvGraphicFramePr>
            <a:graphic>
              <a:graphicData uri="http://schemas.openxmlformats.org/drawingml/2006/picture">
                <pic:pic>
                  <pic:nvPicPr>
                    <pic:cNvPr id="0" name="jp2_consumo_mensual_wes_20260924_1350.png"/>
                    <pic:cNvPicPr/>
                  </pic:nvPicPr>
                  <pic:blipFill>
                    <a:blip r:embed="rId13"/>
                    <a:stretch>
                      <a:fillRect/>
                    </a:stretch>
                  </pic:blipFill>
                  <pic:spPr>
                    <a:xfrm>
                      <a:off x="0" y="0"/>
                      <a:ext cx="5760720" cy="2566657"/>
                    </a:xfrm>
                    <a:prstGeom prst="rect"/>
                  </pic:spPr>
                </pic:pic>
              </a:graphicData>
            </a:graphic>
          </wp:inline>
        </w:drawing>
      </w:r>
    </w:p>
    <w:p>
      <w:pPr>
        <w:pStyle w:val="Heading1"/>
        <w:keepNext/>
        <w:widowControl/>
        <w:spacing w:after="60"/>
      </w:pPr>
      <w:r>
        <w:rPr>
          <w:b/>
          <w:color w:val="003366"/>
        </w:rPr>
        <w:t>5. CONCLUSIÓN</w:t>
      </w:r>
    </w:p>
    <w:p>
      <w:pPr>
        <w:spacing w:after="120" w:before="0"/>
      </w:pPr>
      <w:r>
        <w:rPr>
          <w:rFonts w:ascii="Calibri" w:hAnsi="Calibri"/>
          <w:b w:val="0"/>
          <w:color w:val="1E293B"/>
          <w:sz w:val="22"/>
        </w:rPr>
        <w:t>Entre 04-dic-2025 y 03-ago-2026, las lecturas reales suman 196 m³ facturados contra 1.003,2 m³ WES (diferencia -807,2 m³, $-1.025.126 a tarifa de referencia). El desvío es estable y de gran magnitud porcentual, incluso en los meses sin huecos de API (abril a agosto 2026). Conviene revisar en terreno que el medidor de la compañía y el punto WES midan el mismo ramal, y contrastar la lectura física del medidor  130738981 con el acumulado del nodo.</w:t>
      </w:r>
    </w:p>
    <w:p>
      <w:pPr>
        <w:spacing w:after="120" w:before="0"/>
      </w:pPr>
      <w:r>
        <w:rPr>
          <w:rFonts w:ascii="Calibri" w:hAnsi="Calibri"/>
          <w:b w:val="0"/>
          <w:color w:val="1E293B"/>
          <w:sz w:val="22"/>
        </w:rPr>
        <w:t>Fuente de las boletas: facturaciones Aguas Andinas del establecimiento (carpeta Colegios / Peñalolén / Facturaciones). Fuente del consumo: API WES, nodo 000008-14. La auditoría de habilitación 2024 (lecturas con control apagado y encendido) no se mezcla con esta serie: ese ejercicio mide el efecto del control; este informe mide si la boleta y el nodo coinciden mes a mes.</w:t>
      </w:r>
    </w:p>
    <w:sectPr w:rsidR="00FC693F" w:rsidRPr="0006063C" w:rsidSect="00034616">
      <w:head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