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Auditoria_CORMUP_Vacaciones_14_20_Sep_2026</w:t>
      </w:r>
    </w:p>
    <w:p>
      <w:pPr>
        <w:spacing w:after="80"/>
        <w:jc w:val="center"/>
      </w:pPr>
      <w:r>
        <w:rPr>
          <w:rFonts w:ascii="Calibri" w:hAnsi="Calibri"/>
          <w:b/>
          <w:color w:val="1F4788"/>
          <w:sz w:val="34"/>
        </w:rPr>
        <w:t>CORMUP Peñalolén</w:t>
      </w:r>
      <w:r>
        <w:br/>
      </w:r>
      <w:r>
        <w:rPr>
          <w:rFonts w:ascii="Calibri" w:hAnsi="Calibri"/>
          <w:b/>
          <w:color w:val="1F4788"/>
          <w:sz w:val="34"/>
        </w:rPr>
        <w:t>Vacaciones Fiestas Patrias 2026</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generó una auditoría hídrica agregada al estilo ICCO para comprobar de forma empírica el efecto de ahorro asociado al servicio WES «Control Inteligente de Agua Potable» en la cohorte de 10 colegios CORMUP de Peñalolén con control hidráulico activo. Se definieron dos periodos de 7 días cada uno: con control especial por vacaciones entre el 14 y el 20 de septiembre de 2026 y con control desactivado (línea base) entre el 7 y el 13 de septiembre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 se expresa como max(0, Σ_sin − Σ_con) y el ahorro porcentual como (ahorro_m³ / Σ_sin) × 100. La valorización económica orientativa usa el precio de referencia del servicio (CLP/m³).</w:t>
      </w:r>
    </w:p>
    <w:p>
      <w:pPr>
        <w:keepNext w:val="0"/>
        <w:widowControl/>
        <w:jc w:val="both"/>
      </w:pPr>
      <w:r>
        <w:t>Quedan fuera del cuadro comparativo: Tobalaba (000008-04) por medidor de pulso (lectura anómala / no comparable) y los tres establecimientos solo monitoreo sin válvula de control (Eduardo de la Barra, Alicura y Likankura). Sus consumos se informan aparte, sin atribuir ahorro al control WES. En la semana con control aplicaron horarios especiales de vacaciones (cortes programados, habilitaciones por obras y patinaje), documentados en Registros.</w:t>
      </w:r>
    </w:p>
    <w:p>
      <w:r>
        <w:br w:type="page"/>
      </w:r>
    </w:p>
    <w:p>
      <w:pPr>
        <w:pStyle w:val="Ttulo1"/>
        <w:keepNext/>
        <w:widowControl/>
        <w:spacing w:after="160"/>
      </w:pPr>
      <w:r>
        <w:rPr>
          <w:rFonts w:ascii="Calibri" w:hAnsi="Calibri"/>
          <w:b/>
          <w:color w:val="1F4788"/>
          <w:sz w:val="28"/>
        </w:rPr>
        <w:t>Registros de consumos</w:t>
      </w:r>
    </w:p>
    <w:p>
      <w:pPr>
        <w:keepNext w:val="0"/>
        <w:widowControl/>
        <w:jc w:val="both"/>
      </w:pPr>
      <w:r>
        <w:t>Totales de la cohorte (10 colegios): Con WES 214 m³ (14 al 20 septiembre 2026) frente a Sin WES 2.349,3 m³ (07 al 13 septiembre 2026).</w:t>
      </w:r>
    </w:p>
    <w:p>
      <w:pPr>
        <w:keepNext/>
        <w:widowControl/>
        <w:spacing w:after="60"/>
        <w:jc w:val="center"/>
      </w:pPr>
      <w:r>
        <w:drawing>
          <wp:inline xmlns:a="http://schemas.openxmlformats.org/drawingml/2006/main" xmlns:pic="http://schemas.openxmlformats.org/drawingml/2006/picture">
            <wp:extent cx="5303520" cy="2915021"/>
            <wp:docPr id="1" name="Picture 1"/>
            <wp:cNvGraphicFramePr>
              <a:graphicFrameLocks noChangeAspect="1"/>
            </wp:cNvGraphicFramePr>
            <a:graphic>
              <a:graphicData uri="http://schemas.openxmlformats.org/drawingml/2006/picture">
                <pic:pic>
                  <pic:nvPicPr>
                    <pic:cNvPr id="0" name="01_barras_con_sin.png"/>
                    <pic:cNvPicPr/>
                  </pic:nvPicPr>
                  <pic:blipFill>
                    <a:blip r:embed="rId27"/>
                    <a:stretch>
                      <a:fillRect/>
                    </a:stretch>
                  </pic:blipFill>
                  <pic:spPr>
                    <a:xfrm>
                      <a:off x="0" y="0"/>
                      <a:ext cx="5303520" cy="2915021"/>
                    </a:xfrm>
                    <a:prstGeom prst="rect"/>
                  </pic:spPr>
                </pic:pic>
              </a:graphicData>
            </a:graphic>
          </wp:inline>
        </w:drawing>
      </w:r>
    </w:p>
    <w:p>
      <w:pPr>
        <w:keepNext/>
        <w:widowControl/>
        <w:spacing w:after="60"/>
        <w:jc w:val="center"/>
      </w:pPr>
      <w:r>
        <w:drawing>
          <wp:inline xmlns:a="http://schemas.openxmlformats.org/drawingml/2006/main" xmlns:pic="http://schemas.openxmlformats.org/drawingml/2006/picture">
            <wp:extent cx="5669280" cy="2929128"/>
            <wp:docPr id="2" name="Picture 2"/>
            <wp:cNvGraphicFramePr>
              <a:graphicFrameLocks noChangeAspect="1"/>
            </wp:cNvGraphicFramePr>
            <a:graphic>
              <a:graphicData uri="http://schemas.openxmlformats.org/drawingml/2006/picture">
                <pic:pic>
                  <pic:nvPicPr>
                    <pic:cNvPr id="0" name="02_barras_por_colegio.png"/>
                    <pic:cNvPicPr/>
                  </pic:nvPicPr>
                  <pic:blipFill>
                    <a:blip r:embed="rId28"/>
                    <a:stretch>
                      <a:fillRect/>
                    </a:stretch>
                  </pic:blipFill>
                  <pic:spPr>
                    <a:xfrm>
                      <a:off x="0" y="0"/>
                      <a:ext cx="5669280" cy="2929128"/>
                    </a:xfrm>
                    <a:prstGeom prst="rect"/>
                  </pic:spPr>
                </pic:pic>
              </a:graphicData>
            </a:graphic>
          </wp:inline>
        </w:drawing>
      </w:r>
    </w:p>
    <w:p>
      <w:pPr>
        <w:pStyle w:val="Ttulo1"/>
        <w:keepNext/>
        <w:widowControl/>
        <w:spacing w:after="120"/>
      </w:pPr>
      <w:r>
        <w:rPr>
          <w:rFonts w:ascii="Calibri" w:hAnsi="Calibri"/>
          <w:b/>
          <w:color w:val="1F4788"/>
          <w:sz w:val="28"/>
        </w:rPr>
        <w:t>Detalle por establecimiento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1575"/>
        <w:gridCol w:w="1575"/>
        <w:gridCol w:w="1575"/>
        <w:gridCol w:w="1575"/>
        <w:gridCol w:w="1575"/>
        <w:gridCol w:w="1575"/>
      </w:tblGrid>
      <w:tr>
        <w:tc>
          <w:tcPr>
            <w:tcW w:type="dxa" w:w="1575"/>
            <w:shd w:val="clear" w:fill="D9E1F2"/>
          </w:tcPr>
          <w:p>
            <w:pPr>
              <w:jc w:val="center"/>
            </w:pPr>
            <w:r>
              <w:rPr>
                <w:rFonts w:ascii="Calibri" w:hAnsi="Calibri"/>
                <w:b/>
                <w:color w:val="1F4788"/>
                <w:sz w:val="18"/>
              </w:rPr>
              <w:t>Nodo</w:t>
            </w:r>
          </w:p>
        </w:tc>
        <w:tc>
          <w:tcPr>
            <w:tcW w:type="dxa" w:w="1575"/>
            <w:shd w:val="clear" w:fill="D9E1F2"/>
          </w:tcPr>
          <w:p>
            <w:pPr>
              <w:jc w:val="center"/>
            </w:pPr>
            <w:r>
              <w:rPr>
                <w:rFonts w:ascii="Calibri" w:hAnsi="Calibri"/>
                <w:b/>
                <w:color w:val="1F4788"/>
                <w:sz w:val="18"/>
              </w:rPr>
              <w:t>Establecimiento</w:t>
            </w:r>
          </w:p>
        </w:tc>
        <w:tc>
          <w:tcPr>
            <w:tcW w:type="dxa" w:w="1575"/>
            <w:shd w:val="clear" w:fill="D9E1F2"/>
          </w:tcPr>
          <w:p>
            <w:pPr>
              <w:jc w:val="center"/>
            </w:pPr>
            <w:r>
              <w:rPr>
                <w:rFonts w:ascii="Calibri" w:hAnsi="Calibri"/>
                <w:b/>
                <w:color w:val="1F4788"/>
                <w:sz w:val="18"/>
              </w:rPr>
              <w:t>Sin WES (m³)</w:t>
            </w:r>
          </w:p>
        </w:tc>
        <w:tc>
          <w:tcPr>
            <w:tcW w:type="dxa" w:w="1575"/>
            <w:shd w:val="clear" w:fill="D9E1F2"/>
          </w:tcPr>
          <w:p>
            <w:pPr>
              <w:jc w:val="center"/>
            </w:pPr>
            <w:r>
              <w:rPr>
                <w:rFonts w:ascii="Calibri" w:hAnsi="Calibri"/>
                <w:b/>
                <w:color w:val="1F4788"/>
                <w:sz w:val="18"/>
              </w:rPr>
              <w:t>Con WES (m³)</w:t>
            </w:r>
          </w:p>
        </w:tc>
        <w:tc>
          <w:tcPr>
            <w:tcW w:type="dxa" w:w="1575"/>
            <w:shd w:val="clear" w:fill="D9E1F2"/>
          </w:tcPr>
          <w:p>
            <w:pPr>
              <w:jc w:val="center"/>
            </w:pPr>
            <w:r>
              <w:rPr>
                <w:rFonts w:ascii="Calibri" w:hAnsi="Calibri"/>
                <w:b/>
                <w:color w:val="1F4788"/>
                <w:sz w:val="18"/>
              </w:rPr>
              <w:t>Ahorro (m³)</w:t>
            </w:r>
          </w:p>
        </w:tc>
        <w:tc>
          <w:tcPr>
            <w:tcW w:type="dxa" w:w="1575"/>
            <w:shd w:val="clear" w:fill="D9E1F2"/>
          </w:tcPr>
          <w:p>
            <w:pPr>
              <w:jc w:val="center"/>
            </w:pPr>
            <w:r>
              <w:rPr>
                <w:rFonts w:ascii="Calibri" w:hAnsi="Calibri"/>
                <w:b/>
                <w:color w:val="1F4788"/>
                <w:sz w:val="18"/>
              </w:rPr>
              <w:t>Ahorro %</w:t>
            </w:r>
          </w:p>
        </w:tc>
      </w:tr>
      <w:tr>
        <w:tc>
          <w:tcPr>
            <w:tcW w:type="dxa" w:w="1575"/>
          </w:tcPr>
          <w:p>
            <w:r>
              <w:rPr>
                <w:rFonts w:ascii="Calibri" w:hAnsi="Calibri"/>
                <w:sz w:val="16"/>
              </w:rPr>
              <w:t>000008-01</w:t>
            </w:r>
          </w:p>
        </w:tc>
        <w:tc>
          <w:tcPr>
            <w:tcW w:type="dxa" w:w="1575"/>
          </w:tcPr>
          <w:p>
            <w:r>
              <w:rPr>
                <w:rFonts w:ascii="Calibri" w:hAnsi="Calibri"/>
                <w:sz w:val="16"/>
              </w:rPr>
              <w:t>Lic. Antonio Hermida F</w:t>
            </w:r>
          </w:p>
        </w:tc>
        <w:tc>
          <w:tcPr>
            <w:tcW w:type="dxa" w:w="1575"/>
          </w:tcPr>
          <w:p>
            <w:r>
              <w:rPr>
                <w:rFonts w:ascii="Calibri" w:hAnsi="Calibri"/>
                <w:sz w:val="16"/>
              </w:rPr>
              <w:t>584,4</w:t>
            </w:r>
          </w:p>
        </w:tc>
        <w:tc>
          <w:tcPr>
            <w:tcW w:type="dxa" w:w="1575"/>
          </w:tcPr>
          <w:p>
            <w:r>
              <w:rPr>
                <w:rFonts w:ascii="Calibri" w:hAnsi="Calibri"/>
                <w:sz w:val="16"/>
              </w:rPr>
              <w:t>101,2</w:t>
            </w:r>
          </w:p>
        </w:tc>
        <w:tc>
          <w:tcPr>
            <w:tcW w:type="dxa" w:w="1575"/>
          </w:tcPr>
          <w:p>
            <w:r>
              <w:rPr>
                <w:rFonts w:ascii="Calibri" w:hAnsi="Calibri"/>
                <w:sz w:val="16"/>
              </w:rPr>
              <w:t>483,2</w:t>
            </w:r>
          </w:p>
        </w:tc>
        <w:tc>
          <w:tcPr>
            <w:tcW w:type="dxa" w:w="1575"/>
          </w:tcPr>
          <w:p>
            <w:r>
              <w:rPr>
                <w:rFonts w:ascii="Calibri" w:hAnsi="Calibri"/>
                <w:sz w:val="16"/>
              </w:rPr>
              <w:t>82,7 %</w:t>
            </w:r>
          </w:p>
        </w:tc>
      </w:tr>
      <w:tr>
        <w:tc>
          <w:tcPr>
            <w:tcW w:type="dxa" w:w="1575"/>
          </w:tcPr>
          <w:p>
            <w:r>
              <w:rPr>
                <w:rFonts w:ascii="Calibri" w:hAnsi="Calibri"/>
                <w:sz w:val="16"/>
              </w:rPr>
              <w:t>000008-03</w:t>
            </w:r>
          </w:p>
        </w:tc>
        <w:tc>
          <w:tcPr>
            <w:tcW w:type="dxa" w:w="1575"/>
          </w:tcPr>
          <w:p>
            <w:r>
              <w:rPr>
                <w:rFonts w:ascii="Calibri" w:hAnsi="Calibri"/>
                <w:sz w:val="16"/>
              </w:rPr>
              <w:t>Carlos Fernandez P.</w:t>
            </w:r>
          </w:p>
        </w:tc>
        <w:tc>
          <w:tcPr>
            <w:tcW w:type="dxa" w:w="1575"/>
          </w:tcPr>
          <w:p>
            <w:r>
              <w:rPr>
                <w:rFonts w:ascii="Calibri" w:hAnsi="Calibri"/>
                <w:sz w:val="16"/>
              </w:rPr>
              <w:t>117,6</w:t>
            </w:r>
          </w:p>
        </w:tc>
        <w:tc>
          <w:tcPr>
            <w:tcW w:type="dxa" w:w="1575"/>
          </w:tcPr>
          <w:p>
            <w:r>
              <w:rPr>
                <w:rFonts w:ascii="Calibri" w:hAnsi="Calibri"/>
                <w:sz w:val="16"/>
              </w:rPr>
              <w:t>15,5</w:t>
            </w:r>
          </w:p>
        </w:tc>
        <w:tc>
          <w:tcPr>
            <w:tcW w:type="dxa" w:w="1575"/>
          </w:tcPr>
          <w:p>
            <w:r>
              <w:rPr>
                <w:rFonts w:ascii="Calibri" w:hAnsi="Calibri"/>
                <w:sz w:val="16"/>
              </w:rPr>
              <w:t>102,1</w:t>
            </w:r>
          </w:p>
        </w:tc>
        <w:tc>
          <w:tcPr>
            <w:tcW w:type="dxa" w:w="1575"/>
          </w:tcPr>
          <w:p>
            <w:r>
              <w:rPr>
                <w:rFonts w:ascii="Calibri" w:hAnsi="Calibri"/>
                <w:sz w:val="16"/>
              </w:rPr>
              <w:t>86,8 %</w:t>
            </w:r>
          </w:p>
        </w:tc>
      </w:tr>
      <w:tr>
        <w:tc>
          <w:tcPr>
            <w:tcW w:type="dxa" w:w="1575"/>
          </w:tcPr>
          <w:p>
            <w:r>
              <w:rPr>
                <w:rFonts w:ascii="Calibri" w:hAnsi="Calibri"/>
                <w:sz w:val="16"/>
              </w:rPr>
              <w:t>000008-05</w:t>
            </w:r>
          </w:p>
        </w:tc>
        <w:tc>
          <w:tcPr>
            <w:tcW w:type="dxa" w:w="1575"/>
          </w:tcPr>
          <w:p>
            <w:r>
              <w:rPr>
                <w:rFonts w:ascii="Calibri" w:hAnsi="Calibri"/>
                <w:sz w:val="16"/>
              </w:rPr>
              <w:t>Santa Maria</w:t>
            </w:r>
          </w:p>
        </w:tc>
        <w:tc>
          <w:tcPr>
            <w:tcW w:type="dxa" w:w="1575"/>
          </w:tcPr>
          <w:p>
            <w:r>
              <w:rPr>
                <w:rFonts w:ascii="Calibri" w:hAnsi="Calibri"/>
                <w:sz w:val="16"/>
              </w:rPr>
              <w:t>170,4</w:t>
            </w:r>
          </w:p>
        </w:tc>
        <w:tc>
          <w:tcPr>
            <w:tcW w:type="dxa" w:w="1575"/>
          </w:tcPr>
          <w:p>
            <w:r>
              <w:rPr>
                <w:rFonts w:ascii="Calibri" w:hAnsi="Calibri"/>
                <w:sz w:val="16"/>
              </w:rPr>
              <w:t>0</w:t>
            </w:r>
          </w:p>
        </w:tc>
        <w:tc>
          <w:tcPr>
            <w:tcW w:type="dxa" w:w="1575"/>
          </w:tcPr>
          <w:p>
            <w:r>
              <w:rPr>
                <w:rFonts w:ascii="Calibri" w:hAnsi="Calibri"/>
                <w:sz w:val="16"/>
              </w:rPr>
              <w:t>170,4</w:t>
            </w:r>
          </w:p>
        </w:tc>
        <w:tc>
          <w:tcPr>
            <w:tcW w:type="dxa" w:w="1575"/>
          </w:tcPr>
          <w:p>
            <w:r>
              <w:rPr>
                <w:rFonts w:ascii="Calibri" w:hAnsi="Calibri"/>
                <w:sz w:val="16"/>
              </w:rPr>
              <w:t>100 %</w:t>
            </w:r>
          </w:p>
        </w:tc>
      </w:tr>
      <w:tr>
        <w:tc>
          <w:tcPr>
            <w:tcW w:type="dxa" w:w="1575"/>
          </w:tcPr>
          <w:p>
            <w:r>
              <w:rPr>
                <w:rFonts w:ascii="Calibri" w:hAnsi="Calibri"/>
                <w:sz w:val="16"/>
              </w:rPr>
              <w:t>000008-06</w:t>
            </w:r>
          </w:p>
        </w:tc>
        <w:tc>
          <w:tcPr>
            <w:tcW w:type="dxa" w:w="1575"/>
          </w:tcPr>
          <w:p>
            <w:r>
              <w:rPr>
                <w:rFonts w:ascii="Calibri" w:hAnsi="Calibri"/>
                <w:sz w:val="16"/>
              </w:rPr>
              <w:t>Luis Arrieta Caña</w:t>
            </w:r>
          </w:p>
        </w:tc>
        <w:tc>
          <w:tcPr>
            <w:tcW w:type="dxa" w:w="1575"/>
          </w:tcPr>
          <w:p>
            <w:r>
              <w:rPr>
                <w:rFonts w:ascii="Calibri" w:hAnsi="Calibri"/>
                <w:sz w:val="16"/>
              </w:rPr>
              <w:t>418,8</w:t>
            </w:r>
          </w:p>
        </w:tc>
        <w:tc>
          <w:tcPr>
            <w:tcW w:type="dxa" w:w="1575"/>
          </w:tcPr>
          <w:p>
            <w:r>
              <w:rPr>
                <w:rFonts w:ascii="Calibri" w:hAnsi="Calibri"/>
                <w:sz w:val="16"/>
              </w:rPr>
              <w:t>50,8</w:t>
            </w:r>
          </w:p>
        </w:tc>
        <w:tc>
          <w:tcPr>
            <w:tcW w:type="dxa" w:w="1575"/>
          </w:tcPr>
          <w:p>
            <w:r>
              <w:rPr>
                <w:rFonts w:ascii="Calibri" w:hAnsi="Calibri"/>
                <w:sz w:val="16"/>
              </w:rPr>
              <w:t>368</w:t>
            </w:r>
          </w:p>
        </w:tc>
        <w:tc>
          <w:tcPr>
            <w:tcW w:type="dxa" w:w="1575"/>
          </w:tcPr>
          <w:p>
            <w:r>
              <w:rPr>
                <w:rFonts w:ascii="Calibri" w:hAnsi="Calibri"/>
                <w:sz w:val="16"/>
              </w:rPr>
              <w:t>87,9 %</w:t>
            </w:r>
          </w:p>
        </w:tc>
      </w:tr>
      <w:tr>
        <w:tc>
          <w:tcPr>
            <w:tcW w:type="dxa" w:w="1575"/>
          </w:tcPr>
          <w:p>
            <w:r>
              <w:rPr>
                <w:rFonts w:ascii="Calibri" w:hAnsi="Calibri"/>
                <w:sz w:val="16"/>
              </w:rPr>
              <w:t>000008-07</w:t>
            </w:r>
          </w:p>
        </w:tc>
        <w:tc>
          <w:tcPr>
            <w:tcW w:type="dxa" w:w="1575"/>
          </w:tcPr>
          <w:p>
            <w:r>
              <w:rPr>
                <w:rFonts w:ascii="Calibri" w:hAnsi="Calibri"/>
                <w:sz w:val="16"/>
              </w:rPr>
              <w:t>Erasmo Escala</w:t>
            </w:r>
          </w:p>
        </w:tc>
        <w:tc>
          <w:tcPr>
            <w:tcW w:type="dxa" w:w="1575"/>
          </w:tcPr>
          <w:p>
            <w:r>
              <w:rPr>
                <w:rFonts w:ascii="Calibri" w:hAnsi="Calibri"/>
                <w:sz w:val="16"/>
              </w:rPr>
              <w:t>14,3</w:t>
            </w:r>
          </w:p>
        </w:tc>
        <w:tc>
          <w:tcPr>
            <w:tcW w:type="dxa" w:w="1575"/>
          </w:tcPr>
          <w:p>
            <w:r>
              <w:rPr>
                <w:rFonts w:ascii="Calibri" w:hAnsi="Calibri"/>
                <w:sz w:val="16"/>
              </w:rPr>
              <w:t>0,1</w:t>
            </w:r>
          </w:p>
        </w:tc>
        <w:tc>
          <w:tcPr>
            <w:tcW w:type="dxa" w:w="1575"/>
          </w:tcPr>
          <w:p>
            <w:r>
              <w:rPr>
                <w:rFonts w:ascii="Calibri" w:hAnsi="Calibri"/>
                <w:sz w:val="16"/>
              </w:rPr>
              <w:t>14,2</w:t>
            </w:r>
          </w:p>
        </w:tc>
        <w:tc>
          <w:tcPr>
            <w:tcW w:type="dxa" w:w="1575"/>
          </w:tcPr>
          <w:p>
            <w:r>
              <w:rPr>
                <w:rFonts w:ascii="Calibri" w:hAnsi="Calibri"/>
                <w:sz w:val="16"/>
              </w:rPr>
              <w:t>99,6 %</w:t>
            </w:r>
          </w:p>
        </w:tc>
      </w:tr>
      <w:tr>
        <w:tc>
          <w:tcPr>
            <w:tcW w:type="dxa" w:w="1575"/>
          </w:tcPr>
          <w:p>
            <w:r>
              <w:rPr>
                <w:rFonts w:ascii="Calibri" w:hAnsi="Calibri"/>
                <w:sz w:val="16"/>
              </w:rPr>
              <w:t>000008-09</w:t>
            </w:r>
          </w:p>
        </w:tc>
        <w:tc>
          <w:tcPr>
            <w:tcW w:type="dxa" w:w="1575"/>
          </w:tcPr>
          <w:p>
            <w:r>
              <w:rPr>
                <w:rFonts w:ascii="Calibri" w:hAnsi="Calibri"/>
                <w:sz w:val="16"/>
              </w:rPr>
              <w:t>Juan Bautista Pasten</w:t>
            </w:r>
          </w:p>
        </w:tc>
        <w:tc>
          <w:tcPr>
            <w:tcW w:type="dxa" w:w="1575"/>
          </w:tcPr>
          <w:p>
            <w:r>
              <w:rPr>
                <w:rFonts w:ascii="Calibri" w:hAnsi="Calibri"/>
                <w:sz w:val="16"/>
              </w:rPr>
              <w:t>128,4</w:t>
            </w:r>
          </w:p>
        </w:tc>
        <w:tc>
          <w:tcPr>
            <w:tcW w:type="dxa" w:w="1575"/>
          </w:tcPr>
          <w:p>
            <w:r>
              <w:rPr>
                <w:rFonts w:ascii="Calibri" w:hAnsi="Calibri"/>
                <w:sz w:val="16"/>
              </w:rPr>
              <w:t>39,2</w:t>
            </w:r>
          </w:p>
        </w:tc>
        <w:tc>
          <w:tcPr>
            <w:tcW w:type="dxa" w:w="1575"/>
          </w:tcPr>
          <w:p>
            <w:r>
              <w:rPr>
                <w:rFonts w:ascii="Calibri" w:hAnsi="Calibri"/>
                <w:sz w:val="16"/>
              </w:rPr>
              <w:t>89,2</w:t>
            </w:r>
          </w:p>
        </w:tc>
        <w:tc>
          <w:tcPr>
            <w:tcW w:type="dxa" w:w="1575"/>
          </w:tcPr>
          <w:p>
            <w:r>
              <w:rPr>
                <w:rFonts w:ascii="Calibri" w:hAnsi="Calibri"/>
                <w:sz w:val="16"/>
              </w:rPr>
              <w:t>69,5 %</w:t>
            </w:r>
          </w:p>
        </w:tc>
      </w:tr>
      <w:tr>
        <w:tc>
          <w:tcPr>
            <w:tcW w:type="dxa" w:w="1575"/>
          </w:tcPr>
          <w:p>
            <w:r>
              <w:rPr>
                <w:rFonts w:ascii="Calibri" w:hAnsi="Calibri"/>
                <w:sz w:val="16"/>
              </w:rPr>
              <w:t>000008-10</w:t>
            </w:r>
          </w:p>
        </w:tc>
        <w:tc>
          <w:tcPr>
            <w:tcW w:type="dxa" w:w="1575"/>
          </w:tcPr>
          <w:p>
            <w:r>
              <w:rPr>
                <w:rFonts w:ascii="Calibri" w:hAnsi="Calibri"/>
                <w:sz w:val="16"/>
              </w:rPr>
              <w:t>Matilde Huici Navas</w:t>
            </w:r>
          </w:p>
        </w:tc>
        <w:tc>
          <w:tcPr>
            <w:tcW w:type="dxa" w:w="1575"/>
          </w:tcPr>
          <w:p>
            <w:r>
              <w:rPr>
                <w:rFonts w:ascii="Calibri" w:hAnsi="Calibri"/>
                <w:sz w:val="16"/>
              </w:rPr>
              <w:t>33,8</w:t>
            </w:r>
          </w:p>
        </w:tc>
        <w:tc>
          <w:tcPr>
            <w:tcW w:type="dxa" w:w="1575"/>
          </w:tcPr>
          <w:p>
            <w:r>
              <w:rPr>
                <w:rFonts w:ascii="Calibri" w:hAnsi="Calibri"/>
                <w:sz w:val="16"/>
              </w:rPr>
              <w:t>5,3</w:t>
            </w:r>
          </w:p>
        </w:tc>
        <w:tc>
          <w:tcPr>
            <w:tcW w:type="dxa" w:w="1575"/>
          </w:tcPr>
          <w:p>
            <w:r>
              <w:rPr>
                <w:rFonts w:ascii="Calibri" w:hAnsi="Calibri"/>
                <w:sz w:val="16"/>
              </w:rPr>
              <w:t>28,5</w:t>
            </w:r>
          </w:p>
        </w:tc>
        <w:tc>
          <w:tcPr>
            <w:tcW w:type="dxa" w:w="1575"/>
          </w:tcPr>
          <w:p>
            <w:r>
              <w:rPr>
                <w:rFonts w:ascii="Calibri" w:hAnsi="Calibri"/>
                <w:sz w:val="16"/>
              </w:rPr>
              <w:t>84,3 %</w:t>
            </w:r>
          </w:p>
        </w:tc>
      </w:tr>
      <w:tr>
        <w:tc>
          <w:tcPr>
            <w:tcW w:type="dxa" w:w="1575"/>
          </w:tcPr>
          <w:p>
            <w:r>
              <w:rPr>
                <w:rFonts w:ascii="Calibri" w:hAnsi="Calibri"/>
                <w:sz w:val="16"/>
              </w:rPr>
              <w:t>000008-11</w:t>
            </w:r>
          </w:p>
        </w:tc>
        <w:tc>
          <w:tcPr>
            <w:tcW w:type="dxa" w:w="1575"/>
          </w:tcPr>
          <w:p>
            <w:r>
              <w:rPr>
                <w:rFonts w:ascii="Calibri" w:hAnsi="Calibri"/>
                <w:sz w:val="16"/>
              </w:rPr>
              <w:t>CE Valle Hermoso</w:t>
            </w:r>
          </w:p>
        </w:tc>
        <w:tc>
          <w:tcPr>
            <w:tcW w:type="dxa" w:w="1575"/>
          </w:tcPr>
          <w:p>
            <w:r>
              <w:rPr>
                <w:rFonts w:ascii="Calibri" w:hAnsi="Calibri"/>
                <w:sz w:val="16"/>
              </w:rPr>
              <w:t>144,2</w:t>
            </w:r>
          </w:p>
        </w:tc>
        <w:tc>
          <w:tcPr>
            <w:tcW w:type="dxa" w:w="1575"/>
          </w:tcPr>
          <w:p>
            <w:r>
              <w:rPr>
                <w:rFonts w:ascii="Calibri" w:hAnsi="Calibri"/>
                <w:sz w:val="16"/>
              </w:rPr>
              <w:t>1,8</w:t>
            </w:r>
          </w:p>
        </w:tc>
        <w:tc>
          <w:tcPr>
            <w:tcW w:type="dxa" w:w="1575"/>
          </w:tcPr>
          <w:p>
            <w:r>
              <w:rPr>
                <w:rFonts w:ascii="Calibri" w:hAnsi="Calibri"/>
                <w:sz w:val="16"/>
              </w:rPr>
              <w:t>142,5</w:t>
            </w:r>
          </w:p>
        </w:tc>
        <w:tc>
          <w:tcPr>
            <w:tcW w:type="dxa" w:w="1575"/>
          </w:tcPr>
          <w:p>
            <w:r>
              <w:rPr>
                <w:rFonts w:ascii="Calibri" w:hAnsi="Calibri"/>
                <w:sz w:val="16"/>
              </w:rPr>
              <w:t>98,8 %</w:t>
            </w:r>
          </w:p>
        </w:tc>
      </w:tr>
      <w:tr>
        <w:tc>
          <w:tcPr>
            <w:tcW w:type="dxa" w:w="1575"/>
          </w:tcPr>
          <w:p>
            <w:r>
              <w:rPr>
                <w:rFonts w:ascii="Calibri" w:hAnsi="Calibri"/>
                <w:sz w:val="16"/>
              </w:rPr>
              <w:t>000008-12</w:t>
            </w:r>
          </w:p>
        </w:tc>
        <w:tc>
          <w:tcPr>
            <w:tcW w:type="dxa" w:w="1575"/>
          </w:tcPr>
          <w:p>
            <w:r>
              <w:rPr>
                <w:rFonts w:ascii="Calibri" w:hAnsi="Calibri"/>
                <w:sz w:val="16"/>
              </w:rPr>
              <w:t>Unión Nacional Árabe</w:t>
            </w:r>
          </w:p>
        </w:tc>
        <w:tc>
          <w:tcPr>
            <w:tcW w:type="dxa" w:w="1575"/>
          </w:tcPr>
          <w:p>
            <w:r>
              <w:rPr>
                <w:rFonts w:ascii="Calibri" w:hAnsi="Calibri"/>
                <w:sz w:val="16"/>
              </w:rPr>
              <w:t>710,3</w:t>
            </w:r>
          </w:p>
        </w:tc>
        <w:tc>
          <w:tcPr>
            <w:tcW w:type="dxa" w:w="1575"/>
          </w:tcPr>
          <w:p>
            <w:r>
              <w:rPr>
                <w:rFonts w:ascii="Calibri" w:hAnsi="Calibri"/>
                <w:sz w:val="16"/>
              </w:rPr>
              <w:t>0,2</w:t>
            </w:r>
          </w:p>
        </w:tc>
        <w:tc>
          <w:tcPr>
            <w:tcW w:type="dxa" w:w="1575"/>
          </w:tcPr>
          <w:p>
            <w:r>
              <w:rPr>
                <w:rFonts w:ascii="Calibri" w:hAnsi="Calibri"/>
                <w:sz w:val="16"/>
              </w:rPr>
              <w:t>710,1</w:t>
            </w:r>
          </w:p>
        </w:tc>
        <w:tc>
          <w:tcPr>
            <w:tcW w:type="dxa" w:w="1575"/>
          </w:tcPr>
          <w:p>
            <w:r>
              <w:rPr>
                <w:rFonts w:ascii="Calibri" w:hAnsi="Calibri"/>
                <w:sz w:val="16"/>
              </w:rPr>
              <w:t>100 %</w:t>
            </w:r>
          </w:p>
        </w:tc>
      </w:tr>
      <w:tr>
        <w:tc>
          <w:tcPr>
            <w:tcW w:type="dxa" w:w="1575"/>
          </w:tcPr>
          <w:p>
            <w:r>
              <w:rPr>
                <w:rFonts w:ascii="Calibri" w:hAnsi="Calibri"/>
                <w:sz w:val="16"/>
              </w:rPr>
              <w:t>000008-14</w:t>
            </w:r>
          </w:p>
        </w:tc>
        <w:tc>
          <w:tcPr>
            <w:tcW w:type="dxa" w:w="1575"/>
          </w:tcPr>
          <w:p>
            <w:r>
              <w:rPr>
                <w:rFonts w:ascii="Calibri" w:hAnsi="Calibri"/>
                <w:sz w:val="16"/>
              </w:rPr>
              <w:t>Juan Pablo II</w:t>
            </w:r>
          </w:p>
        </w:tc>
        <w:tc>
          <w:tcPr>
            <w:tcW w:type="dxa" w:w="1575"/>
          </w:tcPr>
          <w:p>
            <w:r>
              <w:rPr>
                <w:rFonts w:ascii="Calibri" w:hAnsi="Calibri"/>
                <w:sz w:val="16"/>
              </w:rPr>
              <w:t>27,1</w:t>
            </w:r>
          </w:p>
        </w:tc>
        <w:tc>
          <w:tcPr>
            <w:tcW w:type="dxa" w:w="1575"/>
          </w:tcPr>
          <w:p>
            <w:r>
              <w:rPr>
                <w:rFonts w:ascii="Calibri" w:hAnsi="Calibri"/>
                <w:sz w:val="16"/>
              </w:rPr>
              <w:t>0</w:t>
            </w:r>
          </w:p>
        </w:tc>
        <w:tc>
          <w:tcPr>
            <w:tcW w:type="dxa" w:w="1575"/>
          </w:tcPr>
          <w:p>
            <w:r>
              <w:rPr>
                <w:rFonts w:ascii="Calibri" w:hAnsi="Calibri"/>
                <w:sz w:val="16"/>
              </w:rPr>
              <w:t>27,1</w:t>
            </w:r>
          </w:p>
        </w:tc>
        <w:tc>
          <w:tcPr>
            <w:tcW w:type="dxa" w:w="1575"/>
          </w:tcPr>
          <w:p>
            <w:r>
              <w:rPr>
                <w:rFonts w:ascii="Calibri" w:hAnsi="Calibri"/>
                <w:sz w:val="16"/>
              </w:rPr>
              <w:t>100 %</w:t>
            </w:r>
          </w:p>
        </w:tc>
      </w:tr>
    </w:tbl>
    <w:p>
      <w:pPr>
        <w:spacing w:after="120"/>
      </w:pPr>
    </w:p>
    <w:p>
      <w:pPr>
        <w:keepNext/>
        <w:widowControl/>
        <w:spacing w:after="60"/>
        <w:jc w:val="center"/>
      </w:pPr>
      <w:r>
        <w:drawing>
          <wp:inline xmlns:a="http://schemas.openxmlformats.org/drawingml/2006/main" xmlns:pic="http://schemas.openxmlformats.org/drawingml/2006/picture">
            <wp:extent cx="5486400" cy="2593571"/>
            <wp:docPr id="3" name="Picture 3"/>
            <wp:cNvGraphicFramePr>
              <a:graphicFrameLocks noChangeAspect="1"/>
            </wp:cNvGraphicFramePr>
            <a:graphic>
              <a:graphicData uri="http://schemas.openxmlformats.org/drawingml/2006/picture">
                <pic:pic>
                  <pic:nvPicPr>
                    <pic:cNvPr id="0" name="03_totales_diarios.png"/>
                    <pic:cNvPicPr/>
                  </pic:nvPicPr>
                  <pic:blipFill>
                    <a:blip r:embed="rId29"/>
                    <a:stretch>
                      <a:fillRect/>
                    </a:stretch>
                  </pic:blipFill>
                  <pic:spPr>
                    <a:xfrm>
                      <a:off x="0" y="0"/>
                      <a:ext cx="5486400" cy="2593571"/>
                    </a:xfrm>
                    <a:prstGeom prst="rect"/>
                  </pic:spPr>
                </pic:pic>
              </a:graphicData>
            </a:graphic>
          </wp:inline>
        </w:drawing>
      </w:r>
    </w:p>
    <w:p>
      <w:pPr>
        <w:keepNext/>
        <w:widowControl/>
        <w:spacing w:after="60"/>
        <w:jc w:val="center"/>
      </w:pPr>
      <w:r>
        <w:drawing>
          <wp:inline xmlns:a="http://schemas.openxmlformats.org/drawingml/2006/main" xmlns:pic="http://schemas.openxmlformats.org/drawingml/2006/picture">
            <wp:extent cx="5486400" cy="2651760"/>
            <wp:docPr id="4" name="Picture 4"/>
            <wp:cNvGraphicFramePr>
              <a:graphicFrameLocks noChangeAspect="1"/>
            </wp:cNvGraphicFramePr>
            <a:graphic>
              <a:graphicData uri="http://schemas.openxmlformats.org/drawingml/2006/picture">
                <pic:pic>
                  <pic:nvPicPr>
                    <pic:cNvPr id="0" name="04_ahorro_clp.png"/>
                    <pic:cNvPicPr/>
                  </pic:nvPicPr>
                  <pic:blipFill>
                    <a:blip r:embed="rId30"/>
                    <a:stretch>
                      <a:fillRect/>
                    </a:stretch>
                  </pic:blipFill>
                  <pic:spPr>
                    <a:xfrm>
                      <a:off x="0" y="0"/>
                      <a:ext cx="5486400" cy="2651760"/>
                    </a:xfrm>
                    <a:prstGeom prst="rect"/>
                  </pic:spPr>
                </pic:pic>
              </a:graphicData>
            </a:graphic>
          </wp:inline>
        </w:drawing>
      </w:r>
    </w:p>
    <w:p>
      <w:pPr>
        <w:pStyle w:val="Ttulo1"/>
        <w:keepNext/>
        <w:widowControl/>
        <w:spacing w:after="120"/>
      </w:pPr>
      <w:r>
        <w:rPr>
          <w:rFonts w:ascii="Calibri" w:hAnsi="Calibri"/>
          <w:b/>
          <w:color w:val="1F4788"/>
          <w:sz w:val="28"/>
        </w:rPr>
        <w:t>Horarios especiales (semana Con WES)</w:t>
      </w:r>
    </w:p>
    <w:p>
      <w:pPr>
        <w:keepNext w:val="0"/>
        <w:widowControl/>
        <w:jc w:val="both"/>
      </w:pPr>
      <w:r>
        <w:t>• Lic. Antonio Hermida F: corte programado (24 h).</w:t>
      </w:r>
    </w:p>
    <w:p>
      <w:pPr>
        <w:keepNext w:val="0"/>
        <w:widowControl/>
        <w:jc w:val="both"/>
      </w:pPr>
      <w:r>
        <w:t>• Carlos Fernandez P.: obras — agua habilitada toda la semana (incluye sáb/dom) 09:00–18:00.</w:t>
      </w:r>
    </w:p>
    <w:p>
      <w:pPr>
        <w:keepNext w:val="0"/>
        <w:widowControl/>
        <w:jc w:val="both"/>
      </w:pPr>
      <w:r>
        <w:t>• Santa Maria: corte programado (24 h).</w:t>
      </w:r>
    </w:p>
    <w:p>
      <w:pPr>
        <w:keepNext w:val="0"/>
        <w:widowControl/>
        <w:jc w:val="both"/>
      </w:pPr>
      <w:r>
        <w:t>• Luis Arrieta Caña: patinaje lun–mar 17:30–21:00; martes 15/09 habilitación adicional por revisión del colegio.</w:t>
      </w:r>
    </w:p>
    <w:p>
      <w:pPr>
        <w:keepNext w:val="0"/>
        <w:widowControl/>
        <w:jc w:val="both"/>
      </w:pPr>
      <w:r>
        <w:t>• Erasmo Escala: corte programado (24 h).</w:t>
      </w:r>
    </w:p>
    <w:p>
      <w:pPr>
        <w:keepNext w:val="0"/>
        <w:widowControl/>
        <w:jc w:val="both"/>
      </w:pPr>
      <w:r>
        <w:t>• Juan Bautista Pasten: obras — agua habilitada toda la semana (incluye sáb/dom) 09:00–18:00.</w:t>
      </w:r>
    </w:p>
    <w:p>
      <w:pPr>
        <w:keepNext w:val="0"/>
        <w:widowControl/>
        <w:jc w:val="both"/>
      </w:pPr>
      <w:r>
        <w:t>• Matilde Huici Navas: corte programado (24 h).</w:t>
      </w:r>
    </w:p>
    <w:p>
      <w:pPr>
        <w:keepNext w:val="0"/>
        <w:widowControl/>
        <w:jc w:val="both"/>
      </w:pPr>
      <w:r>
        <w:t>• CE Valle Hermoso: patinaje lun y mié 17:30–21:00; miércoles 16/09 habilitación especial ≈10:00–tarde.</w:t>
      </w:r>
    </w:p>
    <w:p>
      <w:pPr>
        <w:keepNext w:val="0"/>
        <w:widowControl/>
        <w:jc w:val="both"/>
      </w:pPr>
      <w:r>
        <w:t>• Unión Nacional Árabe: corte programado (24 h).</w:t>
      </w:r>
    </w:p>
    <w:p>
      <w:pPr>
        <w:keepNext w:val="0"/>
        <w:widowControl/>
        <w:jc w:val="both"/>
      </w:pPr>
      <w:r>
        <w:t>• Juan Pablo II: corte programado (24 h).</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(14 al 20 septiembre 2026)</w:t>
            </w:r>
          </w:p>
        </w:tc>
        <w:tc>
          <w:tcPr>
            <w:tcW w:type="dxa" w:w="4725"/>
          </w:tcPr>
          <w:p>
            <w:pPr>
              <w:jc w:val="left"/>
            </w:pPr>
            <w:r>
              <w:rPr>
                <w:b w:val="0"/>
                <w:color w:val="000000"/>
              </w:rPr>
              <w:t>30.58 m3/dia</w:t>
            </w:r>
          </w:p>
        </w:tc>
      </w:tr>
      <w:tr>
        <w:tc>
          <w:tcPr>
            <w:tcW w:type="dxa" w:w="4725"/>
          </w:tcPr>
          <w:p>
            <w:pPr>
              <w:jc w:val="left"/>
            </w:pPr>
            <w:r>
              <w:rPr>
                <w:b/>
                <w:color w:val="000000"/>
              </w:rPr>
              <w:t>Promedio diario con control desactivado (07 al 13 septiembre 2026)</w:t>
            </w:r>
          </w:p>
        </w:tc>
        <w:tc>
          <w:tcPr>
            <w:tcW w:type="dxa" w:w="4725"/>
          </w:tcPr>
          <w:p>
            <w:pPr>
              <w:jc w:val="left"/>
            </w:pPr>
            <w:r>
              <w:rPr>
                <w:b w:val="0"/>
                <w:color w:val="000000"/>
              </w:rPr>
              <w:t>335.62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305.04 m3/dia</w:t>
            </w:r>
          </w:p>
        </w:tc>
      </w:tr>
      <w:tr>
        <w:tc>
          <w:tcPr>
            <w:tcW w:type="dxa" w:w="4725"/>
          </w:tcPr>
          <w:p>
            <w:pPr>
              <w:jc w:val="left"/>
            </w:pPr>
            <w:r>
              <w:rPr>
                <w:b/>
                <w:color w:val="000000"/>
              </w:rPr>
              <w:t>Ahorro porcentual</w:t>
            </w:r>
          </w:p>
        </w:tc>
        <w:tc>
          <w:tcPr>
            <w:tcW w:type="dxa" w:w="4725"/>
          </w:tcPr>
          <w:p>
            <w:pPr>
              <w:jc w:val="left"/>
            </w:pPr>
            <w:r>
              <w:rPr>
                <w:b w:val="0"/>
                <w:color w:val="000000"/>
              </w:rPr>
              <w:t>90.89%</w:t>
            </w:r>
          </w:p>
        </w:tc>
      </w:tr>
      <w:tr>
        <w:tc>
          <w:tcPr>
            <w:tcW w:type="dxa" w:w="4725"/>
          </w:tcPr>
          <w:p>
            <w:pPr>
              <w:jc w:val="left"/>
            </w:pPr>
            <w:r>
              <w:rPr>
                <w:b/>
                <w:color w:val="000000"/>
              </w:rPr>
              <w:t>Diferencia neta (desactivado - activo)</w:t>
            </w:r>
          </w:p>
        </w:tc>
        <w:tc>
          <w:tcPr>
            <w:tcW w:type="dxa" w:w="4725"/>
          </w:tcPr>
          <w:p>
            <w:pPr>
              <w:jc w:val="left"/>
            </w:pPr>
            <w:r>
              <w:rPr>
                <w:b w:val="0"/>
                <w:color w:val="000000"/>
              </w:rPr>
              <w:t>305.04 m3/dia</w:t>
            </w:r>
          </w:p>
        </w:tc>
      </w:tr>
    </w:tbl>
    <w:p>
      <w:pPr>
        <w:spacing w:after="160"/>
      </w:pPr>
    </w:p>
    <w:p>
      <w:pPr>
        <w:keepNext w:val="0"/>
        <w:widowControl/>
        <w:jc w:val="both"/>
      </w:pPr>
      <w:r>
        <w:t>En la rejilla analizada (7 días, 00:00–24:00), Con WES 214,03 m³ y Sin WES 2.349,34 m³; volumen evitado respecto de Sin WES: 2.135,31 m³ (~2.711.844 CLP a 1.270 CLP/m³, orientativo). Cuadros y gráficos: Registros de consumos.</w:t>
      </w:r>
    </w:p>
    <w:p/>
    <w:p>
      <w:pPr>
        <w:jc w:val="center"/>
      </w:pPr>
      <w:r>
        <w:rPr>
          <w:sz w:val="22"/>
        </w:rPr>
        <w:t xml:space="preserve">Ahorro sobre Sin WES: </w:t>
      </w:r>
      <w:r>
        <w:rPr>
          <w:b/>
          <w:sz w:val="28"/>
        </w:rPr>
        <w:t>90,89 %</w:t>
      </w:r>
    </w:p>
    <w:p>
      <w:pPr>
        <w:keepNext w:val="0"/>
        <w:widowControl/>
        <w:jc w:val="both"/>
      </w:pPr>
      <w:r>
        <w:t>Valorización económica de la cohorte: volumen evitado 2.135,3 m³ × 1.270 CLP/m³ ≈ $2.711.844. Los consumos residuales en 14–20/09 en colegios con obras o patinaje corresponden a habilitaciones autorizadas, no a fallas de corte.</w:t>
      </w:r>
    </w:p>
    <w:p>
      <w:pPr>
        <w:pStyle w:val="Ttulo1"/>
        <w:keepNext/>
        <w:widowControl/>
        <w:spacing w:after="160"/>
      </w:pPr>
      <w:r>
        <w:rPr>
          <w:rFonts w:ascii="Calibri" w:hAnsi="Calibri"/>
          <w:b/>
          <w:color w:val="1F4788"/>
          <w:sz w:val="28"/>
        </w:rPr>
        <w:t>Anexo — puntos fuera del comparativo</w:t>
      </w:r>
    </w:p>
    <w:p>
      <w:pPr>
        <w:keepNext w:val="0"/>
        <w:widowControl/>
        <w:jc w:val="both"/>
      </w:pPr>
      <w:r>
        <w:t>Tobalaba (000008-04): medidor de pulso. Consumo 07–13/09 = 2.062,3 m³; 14–20/09 = 10.436,2 m³. No se incluye en el ahorro atribuible al control por no ser comparable con el resto de la cohorte.</w:t>
      </w:r>
    </w:p>
    <w:p>
      <w:pPr>
        <w:keepNext w:val="0"/>
        <w:widowControl/>
        <w:jc w:val="both"/>
      </w:pPr>
      <w:r>
        <w:t>Solo monitoreo (sin válvula de control): Eduardo de la Barra (000008-02): 07–13 = 142,6 m³; 14–20 = 32,9 m³; Alicura (000008-08): 07–13 = 12,4 m³; 14–20 = 0 m³; Likankura (000008-13): 07–13 = 88,2 m³; 14–20 = 8,9 m³. Se informan por transparencia; no forman parte del cálculo de ahorro WES.</w:t>
      </w:r>
    </w:p>
    <w:p>
      <w:pPr>
        <w:jc w:val="center"/>
      </w:pPr>
      <w:r>
        <w:rPr>
          <w:rFonts w:ascii="Calibri" w:hAnsi="Calibri"/>
          <w:color w:val="646464"/>
          <w:sz w:val="18"/>
        </w:rPr>
        <w:t>Documento generado automáticamente — 21-09-2026 17:49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