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5 puntos de monitoreo</w:t>
        <w:br/>
        <w:t>Rango: 01-01-26 - 06-04-26</w:t>
        <w:br/>
        <w:t>Generado: 08-04-26 02:14</w:t>
      </w:r>
    </w:p>
    <w:p>
      <w:pPr>
        <w:pStyle w:val="Heading1"/>
        <w:keepNext/>
        <w:widowControl/>
        <w:spacing w:after="60"/>
      </w:pPr>
      <w:r>
        <w:rPr>
          <w:b/>
          <w:color w:val="003366"/>
        </w:rPr>
        <w:t>RESUMEN EJECUTIVO AGREGADO</w:t>
      </w:r>
    </w:p>
    <w:p>
      <w:r>
        <w:t>Puntos de monitoreo analizados: 5.</w:t>
        <w:br/>
      </w:r>
      <w:r>
        <w:t>Consumo total agregado: 8.252,4 m³.</w:t>
        <w:br/>
      </w:r>
      <w:r>
        <w:t>Consumo promedio por punto: 1.650,5 m³.</w:t>
        <w:br/>
      </w:r>
      <w:r>
        <w:t>Total de alertas registradas: 192.</w:t>
        <w:br/>
      </w:r>
      <w:r>
        <w:t>Promedio de alerta agregado: 2,5 m³/h.</w:t>
        <w:br/>
      </w:r>
      <w:r>
        <w:t>Proyección diaria de consumo nocturno agregada: 60,3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Modulo D, con un total de 3.108,1 m³ durante el periodo analizado. Este valor representa un 88,3% por encima del promedio (1.650,5 m³ por punto), indicando una demanda significativamente superior a la media. Por otro lado, el punto con menor consumo es Módulo E, con un total de 10,9 m³. Este valor representa un 99,3% por debajo del promedio, mostrando una demanda significativamente inferior. La diferencia entre el punto de mayor y menor consumo es considerable, siendo el consumo máximo aproximadamente 283,8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Modulo D</w:t>
            </w:r>
          </w:p>
        </w:tc>
        <w:tc>
          <w:tcPr>
            <w:tcW w:type="dxa" w:w="1440"/>
            <w:noWrap/>
          </w:tcPr>
          <w:p>
            <w:r>
              <w:t>3.108,1</w:t>
            </w:r>
          </w:p>
        </w:tc>
        <w:tc>
          <w:tcPr>
            <w:tcW w:type="dxa" w:w="1440"/>
            <w:noWrap/>
          </w:tcPr>
          <w:p>
            <w:r>
              <w:t>43</w:t>
            </w:r>
          </w:p>
        </w:tc>
        <w:tc>
          <w:tcPr>
            <w:tcW w:type="dxa" w:w="1440"/>
            <w:noWrap/>
          </w:tcPr>
          <w:p>
            <w:pPr>
              <w:jc w:val="left"/>
            </w:pPr>
            <w:r>
              <w:t>887,5 m³</w:t>
            </w:r>
          </w:p>
          <w:p>
            <w:pPr>
              <w:jc w:val="left"/>
            </w:pPr>
            <w:r>
              <w:t>(96 días, 100%)</w:t>
            </w:r>
          </w:p>
        </w:tc>
        <w:tc>
          <w:tcPr>
            <w:tcW w:type="dxa" w:w="1440"/>
            <w:noWrap/>
          </w:tcPr>
          <w:p>
            <w:pPr>
              <w:jc w:val="left"/>
            </w:pPr>
            <w:r>
              <w:t>3.042,8 m³</w:t>
            </w:r>
          </w:p>
          <w:p>
            <w:pPr>
              <w:jc w:val="left"/>
            </w:pPr>
            <w:r>
              <w:t>(97,9%)</w:t>
            </w:r>
          </w:p>
        </w:tc>
      </w:tr>
      <w:tr>
        <w:tc>
          <w:tcPr>
            <w:tcW w:type="dxa" w:w="1440"/>
            <w:noWrap/>
          </w:tcPr>
          <w:p>
            <w:r>
              <w:t>2</w:t>
            </w:r>
          </w:p>
        </w:tc>
        <w:tc>
          <w:tcPr>
            <w:tcW w:type="dxa" w:w="1440"/>
            <w:noWrap/>
          </w:tcPr>
          <w:p>
            <w:r>
              <w:t>Deposito</w:t>
            </w:r>
          </w:p>
        </w:tc>
        <w:tc>
          <w:tcPr>
            <w:tcW w:type="dxa" w:w="1440"/>
            <w:noWrap/>
          </w:tcPr>
          <w:p>
            <w:r>
              <w:t>2.635</w:t>
            </w:r>
          </w:p>
        </w:tc>
        <w:tc>
          <w:tcPr>
            <w:tcW w:type="dxa" w:w="1440"/>
            <w:noWrap/>
          </w:tcPr>
          <w:p>
            <w:r>
              <w:t>20</w:t>
            </w:r>
          </w:p>
        </w:tc>
        <w:tc>
          <w:tcPr>
            <w:tcW w:type="dxa" w:w="1440"/>
            <w:noWrap/>
          </w:tcPr>
          <w:p>
            <w:pPr>
              <w:jc w:val="left"/>
            </w:pPr>
            <w:r>
              <w:t>484,7 m³</w:t>
            </w:r>
          </w:p>
          <w:p>
            <w:pPr>
              <w:jc w:val="left"/>
            </w:pPr>
            <w:r>
              <w:t>(96 días, 100%)</w:t>
            </w:r>
          </w:p>
        </w:tc>
        <w:tc>
          <w:tcPr>
            <w:tcW w:type="dxa" w:w="1440"/>
            <w:noWrap/>
          </w:tcPr>
          <w:p>
            <w:pPr>
              <w:jc w:val="left"/>
            </w:pPr>
            <w:r>
              <w:t>1.662 m³</w:t>
            </w:r>
          </w:p>
          <w:p>
            <w:pPr>
              <w:jc w:val="left"/>
            </w:pPr>
            <w:r>
              <w:t>(63,1%)</w:t>
            </w:r>
          </w:p>
        </w:tc>
      </w:tr>
      <w:tr>
        <w:tc>
          <w:tcPr>
            <w:tcW w:type="dxa" w:w="1440"/>
            <w:noWrap/>
          </w:tcPr>
          <w:p>
            <w:r>
              <w:t>3</w:t>
            </w:r>
          </w:p>
        </w:tc>
        <w:tc>
          <w:tcPr>
            <w:tcW w:type="dxa" w:w="1440"/>
            <w:noWrap/>
          </w:tcPr>
          <w:p>
            <w:r>
              <w:t>Módulo ABC</w:t>
            </w:r>
          </w:p>
        </w:tc>
        <w:tc>
          <w:tcPr>
            <w:tcW w:type="dxa" w:w="1440"/>
            <w:noWrap/>
          </w:tcPr>
          <w:p>
            <w:r>
              <w:t>1.644,5</w:t>
            </w:r>
          </w:p>
        </w:tc>
        <w:tc>
          <w:tcPr>
            <w:tcW w:type="dxa" w:w="1440"/>
            <w:noWrap/>
          </w:tcPr>
          <w:p>
            <w:r>
              <w:t>24</w:t>
            </w:r>
          </w:p>
        </w:tc>
        <w:tc>
          <w:tcPr>
            <w:tcW w:type="dxa" w:w="1440"/>
            <w:noWrap/>
          </w:tcPr>
          <w:p>
            <w:pPr>
              <w:jc w:val="left"/>
            </w:pPr>
            <w:r>
              <w:t>442,4 m³</w:t>
            </w:r>
          </w:p>
          <w:p>
            <w:pPr>
              <w:jc w:val="left"/>
            </w:pPr>
            <w:r>
              <w:t>(92 días, 100%)</w:t>
            </w:r>
          </w:p>
        </w:tc>
        <w:tc>
          <w:tcPr>
            <w:tcW w:type="dxa" w:w="1440"/>
            <w:noWrap/>
          </w:tcPr>
          <w:p>
            <w:pPr>
              <w:jc w:val="left"/>
            </w:pPr>
            <w:r>
              <w:t>1.517 m³</w:t>
            </w:r>
          </w:p>
          <w:p>
            <w:pPr>
              <w:jc w:val="left"/>
            </w:pPr>
            <w:r>
              <w:t>(92,2%)</w:t>
            </w:r>
          </w:p>
        </w:tc>
      </w:tr>
      <w:tr>
        <w:tc>
          <w:tcPr>
            <w:tcW w:type="dxa" w:w="1440"/>
            <w:noWrap/>
          </w:tcPr>
          <w:p>
            <w:r>
              <w:t>4</w:t>
            </w:r>
          </w:p>
        </w:tc>
        <w:tc>
          <w:tcPr>
            <w:tcW w:type="dxa" w:w="1440"/>
            <w:noWrap/>
          </w:tcPr>
          <w:p>
            <w:r>
              <w:t>Intermodal-San Antonio</w:t>
            </w:r>
          </w:p>
        </w:tc>
        <w:tc>
          <w:tcPr>
            <w:tcW w:type="dxa" w:w="1440"/>
            <w:noWrap/>
          </w:tcPr>
          <w:p>
            <w:r>
              <w:t>853,8</w:t>
            </w:r>
          </w:p>
        </w:tc>
        <w:tc>
          <w:tcPr>
            <w:tcW w:type="dxa" w:w="1440"/>
            <w:noWrap/>
          </w:tcPr>
          <w:p>
            <w:r>
              <w:t>95</w:t>
            </w:r>
          </w:p>
        </w:tc>
        <w:tc>
          <w:tcPr>
            <w:tcW w:type="dxa" w:w="1440"/>
            <w:noWrap/>
          </w:tcPr>
          <w:p>
            <w:pPr>
              <w:jc w:val="left"/>
            </w:pPr>
            <w:r>
              <w:t>223,8 m³</w:t>
            </w:r>
          </w:p>
          <w:p>
            <w:pPr>
              <w:jc w:val="left"/>
            </w:pPr>
            <w:r>
              <w:t>(80 días, 90,9%)</w:t>
            </w:r>
          </w:p>
        </w:tc>
        <w:tc>
          <w:tcPr>
            <w:tcW w:type="dxa" w:w="1440"/>
            <w:noWrap/>
          </w:tcPr>
          <w:p>
            <w:pPr>
              <w:jc w:val="left"/>
            </w:pPr>
            <w:r>
              <w:t>767,3 m³</w:t>
            </w:r>
          </w:p>
          <w:p>
            <w:pPr>
              <w:jc w:val="left"/>
            </w:pPr>
            <w:r>
              <w:t>(89,9%)</w:t>
            </w:r>
          </w:p>
        </w:tc>
      </w:tr>
      <w:tr>
        <w:tc>
          <w:tcPr>
            <w:tcW w:type="dxa" w:w="1440"/>
            <w:noWrap/>
          </w:tcPr>
          <w:p>
            <w:r>
              <w:t>5</w:t>
            </w:r>
          </w:p>
        </w:tc>
        <w:tc>
          <w:tcPr>
            <w:tcW w:type="dxa" w:w="1440"/>
            <w:noWrap/>
          </w:tcPr>
          <w:p>
            <w:r>
              <w:t>Módulo E</w:t>
            </w:r>
          </w:p>
        </w:tc>
        <w:tc>
          <w:tcPr>
            <w:tcW w:type="dxa" w:w="1440"/>
            <w:noWrap/>
          </w:tcPr>
          <w:p>
            <w:r>
              <w:t>10,9</w:t>
            </w:r>
          </w:p>
        </w:tc>
        <w:tc>
          <w:tcPr>
            <w:tcW w:type="dxa" w:w="1440"/>
            <w:noWrap/>
          </w:tcPr>
          <w:p>
            <w:r>
              <w:t>10</w:t>
            </w:r>
          </w:p>
        </w:tc>
        <w:tc>
          <w:tcPr>
            <w:tcW w:type="dxa" w:w="1440"/>
            <w:noWrap/>
          </w:tcPr>
          <w:p>
            <w:pPr>
              <w:jc w:val="left"/>
            </w:pPr>
            <w:r>
              <w:t>2,9 m³</w:t>
            </w:r>
          </w:p>
          <w:p>
            <w:pPr>
              <w:jc w:val="left"/>
            </w:pPr>
            <w:r>
              <w:t>(7 días, 17,9%)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8.252,4</w:t>
            </w:r>
          </w:p>
        </w:tc>
        <w:tc>
          <w:tcPr>
            <w:tcW w:type="dxa" w:w="1440"/>
            <w:noWrap/>
            <w:shd w:val="clear" w:fill="FFE6E6"/>
          </w:tcPr>
          <w:p>
            <w:pPr>
              <w:jc w:val="left"/>
            </w:pPr>
            <w:r>
              <w:rPr>
                <w:b/>
                <w:color w:val="FF0000"/>
              </w:rPr>
              <w:t>192</w:t>
            </w:r>
          </w:p>
        </w:tc>
        <w:tc>
          <w:tcPr>
            <w:tcW w:type="dxa" w:w="1440"/>
            <w:noWrap/>
            <w:shd w:val="clear" w:fill="FFE6E6"/>
          </w:tcPr>
          <w:p>
            <w:pPr>
              <w:jc w:val="left"/>
            </w:pPr>
            <w:r>
              <w:rPr>
                <w:b/>
                <w:color w:val="FF0000"/>
              </w:rPr>
              <w:t>2.041,3 m³</w:t>
            </w:r>
          </w:p>
        </w:tc>
        <w:tc>
          <w:tcPr>
            <w:tcW w:type="dxa" w:w="1440"/>
            <w:noWrap/>
            <w:shd w:val="clear" w:fill="FFE6E6"/>
          </w:tcPr>
          <w:p>
            <w:pPr>
              <w:jc w:val="left"/>
            </w:pPr>
            <w:r>
              <w:rPr>
                <w:b/>
                <w:color w:val="FF0000"/>
              </w:rPr>
              <w:t>6.989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DEPOSITO (05-04-26):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Deposito registró 20 alerta(s) durante 20 día(s) del periodo analizado. La periodicidad de las alertas es intermitente (más del 20% de los días). Se identificó una proyección de filtración de 1.662 m³ ($2.069.147), lo que indica un patrón de fuga constante durante el periodo.</w:t>
      </w:r>
    </w:p>
    <w:p/>
    <w:p>
      <w:pPr>
        <w:keepNext/>
        <w:widowControl/>
        <w:spacing w:after="60"/>
      </w:pPr>
      <w:r>
        <w:rPr>
          <w:b/>
          <w:color w:val="003366"/>
        </w:rPr>
        <w:t>DÍA CON MAYOR CONSUMO NOCTURNO - MODULO D (23-03-26):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0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Modulo D registró 43 alerta(s) durante 36 día(s) del periodo analizado. La periodicidad de las alertas es intermitente (más del 20% de los días). Se identificó una proyección de filtración de 3.042,8 m³ ($3.788.314), lo que indica un patrón de fuga constante durante el periodo.</w:t>
      </w:r>
    </w:p>
    <w:p/>
    <w:p>
      <w:pPr>
        <w:keepNext/>
        <w:widowControl/>
        <w:spacing w:after="60"/>
      </w:pPr>
      <w:r>
        <w:rPr>
          <w:b/>
          <w:color w:val="003366"/>
        </w:rPr>
        <w:t>DÍA CON MAYOR CONSUMO NOCTURNO - MÓDULO ABC (16-02-26):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20_03.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Módulo ABC registró 24 alerta(s) durante 24 día(s) del periodo analizado. La periodicidad de las alertas es intermitente (más del 20% de los días). Se identificó una proyección de filtración de 1.517 m³ ($1.888.629), lo que indica un patrón de fuga constante durante el periodo.</w:t>
      </w:r>
    </w:p>
    <w:p/>
    <w:p>
      <w:pPr>
        <w:keepNext/>
        <w:widowControl/>
        <w:spacing w:after="60"/>
      </w:pPr>
      <w:r>
        <w:rPr>
          <w:b/>
          <w:color w:val="003366"/>
        </w:rPr>
        <w:t>DÍA CON MAYOR CONSUMO NOCTURNO - MÓDULO E (05-01-26):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0_04.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Módulo E registró 10 alerta(s) durante 10 día(s) del periodo analizado. La periodicidad de las alertas es puntual (menos del 20% de los días).</w:t>
      </w:r>
    </w:p>
    <w:p/>
    <w:p>
      <w:pPr>
        <w:keepNext/>
        <w:widowControl/>
        <w:spacing w:after="60"/>
      </w:pPr>
      <w:r>
        <w:rPr>
          <w:b/>
          <w:color w:val="003366"/>
        </w:rPr>
        <w:t>DÍA CON MAYOR CONSUMO NOCTURNO - INTERMODAL-SAN ANTONIO (16-01-26):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0_05.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Intermodal-San Antonio registró 95 alerta(s) durante 62 día(s) del periodo analizado. La periodicidad de las alertas es regular (más del 50% de los días). Se identificó una proyección de filtración de 767,3 m³ ($955.264),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Modulo D, Deposito, Módulo ABC y Intermodal-San Antonio.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