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AGUNSA</w:t>
      </w:r>
    </w:p>
    <w:p>
      <w:pPr>
        <w:jc w:val="center"/>
      </w:pPr>
      <w:r>
        <w:t>MONITOREO WES</w:t>
        <w:br/>
        <w:t>Análisis consolidado de 1 puntos de monitoreo</w:t>
        <w:br/>
        <w:t>Rango: 01-05-26 - 31-05-26</w:t>
        <w:br/>
        <w:t>Generado: 29-05-26 18:41</w:t>
      </w:r>
    </w:p>
    <w:p>
      <w:pPr>
        <w:pStyle w:val="Heading1"/>
        <w:keepNext/>
        <w:widowControl/>
        <w:spacing w:after="60"/>
      </w:pPr>
      <w:r>
        <w:rPr>
          <w:b/>
          <w:color w:val="003366"/>
        </w:rPr>
        <w:t>RESUMEN EJECUTIVO AGREGADO</w:t>
      </w:r>
    </w:p>
    <w:p>
      <w:r>
        <w:t>Puntos de monitoreo analizados: 1.</w:t>
        <w:br/>
      </w:r>
      <w:r>
        <w:t>Consumo total agregado: 430,3 m³.</w:t>
        <w:br/>
      </w:r>
      <w:r>
        <w:t>Consumo promedio por punto: 430,3 m³.</w:t>
        <w:br/>
      </w:r>
      <w:r>
        <w:t>Total de alertas registradas: 42.</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376"/>
        <w:gridCol w:w="1126"/>
        <w:gridCol w:w="1001"/>
        <w:gridCol w:w="1376"/>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Intermodal-San Antonio</w:t>
            </w:r>
          </w:p>
        </w:tc>
        <w:tc>
          <w:tcPr>
            <w:tcW w:type="dxa" w:w="1440"/>
            <w:noWrap/>
          </w:tcPr>
          <w:p>
            <w:r>
              <w:t>430,3</w:t>
            </w:r>
          </w:p>
        </w:tc>
        <w:tc>
          <w:tcPr>
            <w:tcW w:type="dxa" w:w="1440"/>
            <w:noWrap/>
          </w:tcPr>
          <w:p>
            <w:r>
              <w:t>42</w:t>
            </w:r>
          </w:p>
        </w:tc>
        <w:tc>
          <w:tcPr>
            <w:tcW w:type="dxa" w:w="1440"/>
            <w:noWrap/>
          </w:tcPr>
          <w:p>
            <w:pPr>
              <w:jc w:val="left"/>
            </w:pPr>
            <w:r>
              <w:t>144 m³</w:t>
            </w:r>
          </w:p>
          <w:p>
            <w:pPr>
              <w:jc w:val="left"/>
            </w:pPr>
            <w:r>
              <w:t>(29 días, 100%)</w:t>
            </w:r>
          </w:p>
        </w:tc>
        <w:tc>
          <w:tcPr>
            <w:tcW w:type="dxa" w:w="1440"/>
            <w:noWrap/>
          </w:tcPr>
          <w:p>
            <w:pPr>
              <w:jc w:val="left"/>
            </w:pPr>
            <w:r>
              <w:t>493,9 m³</w:t>
            </w:r>
          </w:p>
          <w:p>
            <w:pPr>
              <w:jc w:val="left"/>
            </w:pPr>
            <w:r>
              <w:t>(114,8%)</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430,3</w:t>
            </w:r>
          </w:p>
        </w:tc>
        <w:tc>
          <w:tcPr>
            <w:tcW w:type="dxa" w:w="1440"/>
            <w:noWrap/>
            <w:shd w:val="clear" w:fill="FFE6E6"/>
          </w:tcPr>
          <w:p>
            <w:pPr>
              <w:jc w:val="left"/>
            </w:pPr>
            <w:r>
              <w:rPr>
                <w:b/>
                <w:color w:val="FF0000"/>
              </w:rPr>
              <w:t>42</w:t>
            </w:r>
          </w:p>
        </w:tc>
        <w:tc>
          <w:tcPr>
            <w:tcW w:type="dxa" w:w="1440"/>
            <w:noWrap/>
            <w:shd w:val="clear" w:fill="FFE6E6"/>
          </w:tcPr>
          <w:p>
            <w:pPr>
              <w:jc w:val="left"/>
            </w:pPr>
            <w:r>
              <w:rPr>
                <w:b/>
                <w:color w:val="FF0000"/>
              </w:rPr>
              <w:t>144 m³</w:t>
            </w:r>
          </w:p>
        </w:tc>
        <w:tc>
          <w:tcPr>
            <w:tcW w:type="dxa" w:w="1440"/>
            <w:noWrap/>
            <w:shd w:val="clear" w:fill="FFE6E6"/>
          </w:tcPr>
          <w:p>
            <w:pPr>
              <w:jc w:val="left"/>
            </w:pPr>
            <w:r>
              <w:rPr>
                <w:b/>
                <w:color w:val="FF0000"/>
              </w:rPr>
              <w:t>493,9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INTERMODAL-SAN ANTONIO (02-05-26):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0_05.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Intermodal-San Antonio registró 42 alerta(s) durante 25 día(s) del periodo analizado. La periodicidad de las alertas es frecuente (más del 80% de los días). Se identificó una proyección de filtración de 493,9 m³ ($614.850),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Intermodal-San Antonio, con un volumen proyectado de 493,9 m³ (114,8%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