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1 puntos de monitoreo</w:t>
        <w:br/>
        <w:t>Rango: 01-06-26 - 30-06-26</w:t>
        <w:br/>
        <w:t>Generado: 01-07-26 13:40</w:t>
      </w:r>
    </w:p>
    <w:p>
      <w:pPr>
        <w:pStyle w:val="Heading1"/>
        <w:keepNext/>
        <w:widowControl/>
        <w:spacing w:after="60"/>
      </w:pPr>
      <w:r>
        <w:rPr>
          <w:b/>
          <w:color w:val="003366"/>
        </w:rPr>
        <w:t>RESUMEN EJECUTIVO AGREGADO</w:t>
      </w:r>
    </w:p>
    <w:p>
      <w:r>
        <w:t>Puntos de monitoreo analizados: 1.</w:t>
        <w:br/>
      </w:r>
      <w:r>
        <w:t>Consumo total agregado: 105,7 m³.</w:t>
        <w:br/>
      </w:r>
      <w:r>
        <w:t>Consumo promedio por punto: 105,7 m³.</w:t>
        <w:br/>
      </w:r>
      <w:r>
        <w:t>Total de alertas registradas: 42.</w:t>
        <w:br/>
      </w:r>
      <w:r>
        <w:t>Promedio de alerta agregado: 0 m³/h.</w:t>
        <w:br/>
      </w:r>
      <w:r>
        <w:t>Proyección diaria de consumo nocturno agregada: 1,1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363"/>
        <w:gridCol w:w="1115"/>
        <w:gridCol w:w="991"/>
        <w:gridCol w:w="1425"/>
        <w:gridCol w:w="148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Intermodal-San Antonio</w:t>
            </w:r>
          </w:p>
        </w:tc>
        <w:tc>
          <w:tcPr>
            <w:tcW w:type="dxa" w:w="1440"/>
            <w:noWrap/>
          </w:tcPr>
          <w:p>
            <w:r>
              <w:t>105,7</w:t>
            </w:r>
          </w:p>
        </w:tc>
        <w:tc>
          <w:tcPr>
            <w:tcW w:type="dxa" w:w="1440"/>
            <w:noWrap/>
          </w:tcPr>
          <w:p>
            <w:r>
              <w:t>42</w:t>
            </w:r>
          </w:p>
        </w:tc>
        <w:tc>
          <w:tcPr>
            <w:tcW w:type="dxa" w:w="1440"/>
            <w:noWrap/>
          </w:tcPr>
          <w:p>
            <w:pPr>
              <w:jc w:val="left"/>
            </w:pPr>
            <w:r>
              <w:t>37,6 m³</w:t>
            </w:r>
          </w:p>
          <w:p>
            <w:pPr>
              <w:jc w:val="left"/>
            </w:pPr>
            <w:r>
              <w:t>(30 días, 100%)</w:t>
            </w:r>
          </w:p>
        </w:tc>
        <w:tc>
          <w:tcPr>
            <w:tcW w:type="dxa" w:w="1440"/>
            <w:noWrap/>
          </w:tcPr>
          <w:p>
            <w:pPr>
              <w:jc w:val="left"/>
            </w:pPr>
            <w:r>
              <w:t>128,9 m³</w:t>
            </w:r>
          </w:p>
          <w:p>
            <w:pPr>
              <w:jc w:val="left"/>
            </w:pPr>
            <w:r>
              <w:t>(122%)</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105,7</w:t>
            </w:r>
          </w:p>
        </w:tc>
        <w:tc>
          <w:tcPr>
            <w:tcW w:type="dxa" w:w="1440"/>
            <w:noWrap/>
            <w:shd w:val="clear" w:fill="FFE6E6"/>
          </w:tcPr>
          <w:p>
            <w:pPr>
              <w:jc w:val="left"/>
            </w:pPr>
            <w:r>
              <w:rPr>
                <w:b/>
                <w:color w:val="FF0000"/>
              </w:rPr>
              <w:t>42</w:t>
            </w:r>
          </w:p>
        </w:tc>
        <w:tc>
          <w:tcPr>
            <w:tcW w:type="dxa" w:w="1440"/>
            <w:noWrap/>
            <w:shd w:val="clear" w:fill="FFE6E6"/>
          </w:tcPr>
          <w:p>
            <w:pPr>
              <w:jc w:val="left"/>
            </w:pPr>
            <w:r>
              <w:rPr>
                <w:b/>
                <w:color w:val="FF0000"/>
              </w:rPr>
              <w:t>37,6 m³</w:t>
            </w:r>
          </w:p>
        </w:tc>
        <w:tc>
          <w:tcPr>
            <w:tcW w:type="dxa" w:w="1440"/>
            <w:noWrap/>
            <w:shd w:val="clear" w:fill="FFE6E6"/>
          </w:tcPr>
          <w:p>
            <w:pPr>
              <w:jc w:val="left"/>
            </w:pPr>
            <w:r>
              <w:rPr>
                <w:b/>
                <w:color w:val="FF0000"/>
              </w:rPr>
              <w:t>128,9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INTERMODAL-SAN ANTONIO (05-06-26):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5.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Intermodal-San Antonio registró 42 alerta(s) durante 26 día(s) del periodo analizado. La periodicidad de las alertas es frecuente (más del 80% de los días). Se identificó una proyección de filtración de 128,9 m³ ($160.463),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Intermodal-San Antonio, con un volumen proyectado de 128,9 m³ (122%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