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4 puntos de monitoreo</w:t>
        <w:br/>
        <w:t>Rango: 01-06-26 - 30-06-26</w:t>
        <w:br/>
        <w:t>Generado: 01-07-26 13:42</w:t>
      </w:r>
    </w:p>
    <w:p>
      <w:pPr>
        <w:pStyle w:val="Heading1"/>
        <w:keepNext/>
        <w:widowControl/>
        <w:spacing w:after="60"/>
      </w:pPr>
      <w:r>
        <w:rPr>
          <w:b/>
          <w:color w:val="003366"/>
        </w:rPr>
        <w:t>RESUMEN EJECUTIVO AGREGADO</w:t>
      </w:r>
    </w:p>
    <w:p>
      <w:r>
        <w:t>Puntos de monitoreo analizados: 4.</w:t>
        <w:br/>
      </w:r>
      <w:r>
        <w:t>Consumo total agregado: 1.689,9 m³.</w:t>
        <w:br/>
      </w:r>
      <w:r>
        <w:t>Consumo promedio por punto: 422,5 m³.</w:t>
        <w:br/>
      </w:r>
      <w:r>
        <w:t>Total de alertas registradas: 45.</w:t>
        <w:br/>
      </w:r>
      <w:r>
        <w:t>Promedio de alerta agregado: 0,2 m³/h.</w:t>
        <w:br/>
      </w:r>
      <w:r>
        <w:t>Proyección diaria de consumo nocturno agregada: 4,3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Deposito, con un total de 768,2 m³ durante el periodo analizado. Este valor representa un 81,8% por encima del promedio (422,5 m³ por punto), indicando una demanda significativamente superior a la media. Por otro lado, el punto con menor consumo es Módulo E, con un total de 120,8 m³. Este valor representa un 71,4% por debajo del promedio, mostrando una demanda significativamente inferior. La diferencia entre el punto de mayor y menor consumo es considerable, siendo el consumo máximo aproximadamente 6,4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5"/>
        <w:gridCol w:w="815"/>
        <w:gridCol w:w="1223"/>
        <w:gridCol w:w="1087"/>
        <w:gridCol w:w="1630"/>
        <w:gridCol w:w="1630"/>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Deposito</w:t>
            </w:r>
          </w:p>
        </w:tc>
        <w:tc>
          <w:tcPr>
            <w:tcW w:type="dxa" w:w="1440"/>
            <w:noWrap/>
          </w:tcPr>
          <w:p>
            <w:r>
              <w:t>768,2</w:t>
            </w:r>
          </w:p>
        </w:tc>
        <w:tc>
          <w:tcPr>
            <w:tcW w:type="dxa" w:w="1440"/>
            <w:noWrap/>
          </w:tcPr>
          <w:p>
            <w:r>
              <w:t>0</w:t>
            </w:r>
          </w:p>
        </w:tc>
        <w:tc>
          <w:tcPr>
            <w:tcW w:type="dxa" w:w="1440"/>
            <w:noWrap/>
          </w:tcPr>
          <w:p>
            <w:pPr>
              <w:jc w:val="left"/>
            </w:pPr>
            <w:r>
              <w:t>166,5 m³</w:t>
            </w:r>
          </w:p>
          <w:p>
            <w:pPr>
              <w:jc w:val="left"/>
            </w:pPr>
            <w:r>
              <w:t>(30 días, 100%)</w:t>
            </w:r>
          </w:p>
        </w:tc>
        <w:tc>
          <w:tcPr>
            <w:tcW w:type="dxa" w:w="1440"/>
            <w:noWrap/>
          </w:tcPr>
          <w:p>
            <w:pPr>
              <w:jc w:val="left"/>
            </w:pPr>
            <w:r>
              <w:t>571 m³</w:t>
            </w:r>
          </w:p>
          <w:p>
            <w:pPr>
              <w:jc w:val="left"/>
            </w:pPr>
            <w:r>
              <w:t>(74,3%)</w:t>
            </w:r>
          </w:p>
        </w:tc>
      </w:tr>
      <w:tr>
        <w:tc>
          <w:tcPr>
            <w:tcW w:type="dxa" w:w="1440"/>
            <w:noWrap/>
          </w:tcPr>
          <w:p>
            <w:r>
              <w:t>2</w:t>
            </w:r>
          </w:p>
        </w:tc>
        <w:tc>
          <w:tcPr>
            <w:tcW w:type="dxa" w:w="1440"/>
            <w:noWrap/>
          </w:tcPr>
          <w:p>
            <w:r>
              <w:t>Modulo D</w:t>
            </w:r>
          </w:p>
        </w:tc>
        <w:tc>
          <w:tcPr>
            <w:tcW w:type="dxa" w:w="1440"/>
            <w:noWrap/>
          </w:tcPr>
          <w:p>
            <w:r>
              <w:t>419,2</w:t>
            </w:r>
          </w:p>
        </w:tc>
        <w:tc>
          <w:tcPr>
            <w:tcW w:type="dxa" w:w="1440"/>
            <w:noWrap/>
          </w:tcPr>
          <w:p>
            <w:r>
              <w:t>19</w:t>
            </w:r>
          </w:p>
        </w:tc>
        <w:tc>
          <w:tcPr>
            <w:tcW w:type="dxa" w:w="1440"/>
            <w:noWrap/>
          </w:tcPr>
          <w:p>
            <w:pPr>
              <w:jc w:val="left"/>
            </w:pPr>
            <w:r>
              <w:t>101,8 m³</w:t>
            </w:r>
          </w:p>
          <w:p>
            <w:pPr>
              <w:jc w:val="left"/>
            </w:pPr>
            <w:r>
              <w:t>(30 días, 100%)</w:t>
            </w:r>
          </w:p>
        </w:tc>
        <w:tc>
          <w:tcPr>
            <w:tcW w:type="dxa" w:w="1440"/>
            <w:noWrap/>
          </w:tcPr>
          <w:p>
            <w:pPr>
              <w:jc w:val="left"/>
            </w:pPr>
            <w:r>
              <w:t>348,9 m³</w:t>
            </w:r>
          </w:p>
          <w:p>
            <w:pPr>
              <w:jc w:val="left"/>
            </w:pPr>
            <w:r>
              <w:t>(83,2%)</w:t>
            </w:r>
          </w:p>
        </w:tc>
      </w:tr>
      <w:tr>
        <w:tc>
          <w:tcPr>
            <w:tcW w:type="dxa" w:w="1440"/>
            <w:noWrap/>
          </w:tcPr>
          <w:p>
            <w:r>
              <w:t>3</w:t>
            </w:r>
          </w:p>
        </w:tc>
        <w:tc>
          <w:tcPr>
            <w:tcW w:type="dxa" w:w="1440"/>
            <w:noWrap/>
          </w:tcPr>
          <w:p>
            <w:r>
              <w:t>Módulo ABC</w:t>
            </w:r>
          </w:p>
        </w:tc>
        <w:tc>
          <w:tcPr>
            <w:tcW w:type="dxa" w:w="1440"/>
            <w:noWrap/>
          </w:tcPr>
          <w:p>
            <w:r>
              <w:t>381,6</w:t>
            </w:r>
          </w:p>
        </w:tc>
        <w:tc>
          <w:tcPr>
            <w:tcW w:type="dxa" w:w="1440"/>
            <w:noWrap/>
          </w:tcPr>
          <w:p>
            <w:r>
              <w:t>15</w:t>
            </w:r>
          </w:p>
        </w:tc>
        <w:tc>
          <w:tcPr>
            <w:tcW w:type="dxa" w:w="1440"/>
            <w:noWrap/>
          </w:tcPr>
          <w:p>
            <w:pPr>
              <w:jc w:val="left"/>
            </w:pPr>
            <w:r>
              <w:t>117 m³</w:t>
            </w:r>
          </w:p>
          <w:p>
            <w:pPr>
              <w:jc w:val="left"/>
            </w:pPr>
            <w:r>
              <w:t>(27 días, 100%)</w:t>
            </w:r>
          </w:p>
        </w:tc>
        <w:tc>
          <w:tcPr>
            <w:tcW w:type="dxa" w:w="1440"/>
            <w:noWrap/>
          </w:tcPr>
          <w:p>
            <w:pPr>
              <w:jc w:val="left"/>
            </w:pPr>
            <w:r>
              <w:t>401,2 m³</w:t>
            </w:r>
          </w:p>
          <w:p>
            <w:pPr>
              <w:jc w:val="left"/>
            </w:pPr>
            <w:r>
              <w:t>(105,1%)</w:t>
            </w:r>
          </w:p>
        </w:tc>
      </w:tr>
      <w:tr>
        <w:tc>
          <w:tcPr>
            <w:tcW w:type="dxa" w:w="1440"/>
            <w:noWrap/>
          </w:tcPr>
          <w:p>
            <w:r>
              <w:t>4</w:t>
            </w:r>
          </w:p>
        </w:tc>
        <w:tc>
          <w:tcPr>
            <w:tcW w:type="dxa" w:w="1440"/>
            <w:noWrap/>
          </w:tcPr>
          <w:p>
            <w:r>
              <w:t>Módulo E</w:t>
            </w:r>
          </w:p>
        </w:tc>
        <w:tc>
          <w:tcPr>
            <w:tcW w:type="dxa" w:w="1440"/>
            <w:noWrap/>
          </w:tcPr>
          <w:p>
            <w:r>
              <w:t>120,8</w:t>
            </w:r>
          </w:p>
        </w:tc>
        <w:tc>
          <w:tcPr>
            <w:tcW w:type="dxa" w:w="1440"/>
            <w:noWrap/>
          </w:tcPr>
          <w:p>
            <w:r>
              <w:t>11</w:t>
            </w:r>
          </w:p>
        </w:tc>
        <w:tc>
          <w:tcPr>
            <w:tcW w:type="dxa" w:w="1440"/>
            <w:noWrap/>
          </w:tcPr>
          <w:p>
            <w:pPr>
              <w:jc w:val="left"/>
            </w:pPr>
            <w:r>
              <w:t>37 m³</w:t>
            </w:r>
          </w:p>
          <w:p>
            <w:pPr>
              <w:jc w:val="left"/>
            </w:pPr>
            <w:r>
              <w:t>(30 días, 100%)</w:t>
            </w:r>
          </w:p>
        </w:tc>
        <w:tc>
          <w:tcPr>
            <w:tcW w:type="dxa" w:w="1440"/>
            <w:noWrap/>
          </w:tcPr>
          <w:p>
            <w:pPr>
              <w:jc w:val="left"/>
            </w:pPr>
            <w:r>
              <w:t>126,9 m³</w:t>
            </w:r>
          </w:p>
          <w:p>
            <w:pPr>
              <w:jc w:val="left"/>
            </w:pPr>
            <w:r>
              <w:t>(105%)</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1.689,9</w:t>
            </w:r>
          </w:p>
        </w:tc>
        <w:tc>
          <w:tcPr>
            <w:tcW w:type="dxa" w:w="1440"/>
            <w:noWrap/>
            <w:shd w:val="clear" w:fill="FFE6E6"/>
          </w:tcPr>
          <w:p>
            <w:pPr>
              <w:jc w:val="left"/>
            </w:pPr>
            <w:r>
              <w:rPr>
                <w:b/>
                <w:color w:val="FF0000"/>
              </w:rPr>
              <w:t>45</w:t>
            </w:r>
          </w:p>
        </w:tc>
        <w:tc>
          <w:tcPr>
            <w:tcW w:type="dxa" w:w="1440"/>
            <w:noWrap/>
            <w:shd w:val="clear" w:fill="FFE6E6"/>
          </w:tcPr>
          <w:p>
            <w:pPr>
              <w:jc w:val="left"/>
            </w:pPr>
            <w:r>
              <w:rPr>
                <w:b/>
                <w:color w:val="FF0000"/>
              </w:rPr>
              <w:t>422,3 m³</w:t>
            </w:r>
          </w:p>
        </w:tc>
        <w:tc>
          <w:tcPr>
            <w:tcW w:type="dxa" w:w="1440"/>
            <w:noWrap/>
            <w:shd w:val="clear" w:fill="FFE6E6"/>
          </w:tcPr>
          <w:p>
            <w:pPr>
              <w:jc w:val="left"/>
            </w:pPr>
            <w:r>
              <w:rPr>
                <w:b/>
                <w:color w:val="FF0000"/>
              </w:rPr>
              <w:t>1.448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MODULO D (27-06-26):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2.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Modulo D registró 19 alerta(s) durante 17 día(s) del periodo analizado. La periodicidad de las alertas es regular (más del 50% de los días). Se identificó una proyección de filtración de 348,9 m³ ($434.410), lo que indica un patrón de fuga constante durante el periodo.</w:t>
      </w:r>
    </w:p>
    <w:p/>
    <w:p>
      <w:pPr>
        <w:keepNext/>
        <w:widowControl/>
        <w:spacing w:after="60"/>
      </w:pPr>
      <w:r>
        <w:rPr>
          <w:b/>
          <w:color w:val="003366"/>
        </w:rPr>
        <w:t>DÍA CON MAYOR CONSUMO NOCTURNO - MÓDULO ABC (26-06-26):</w:t>
      </w:r>
    </w:p>
    <w:p>
      <w:pPr>
        <w:keepNext/>
        <w:widowControl/>
        <w:spacing w:after="60"/>
        <w:jc w:val="center"/>
      </w:pPr>
      <w:r>
        <w:drawing>
          <wp:inline xmlns:a="http://schemas.openxmlformats.org/drawingml/2006/main" xmlns:pic="http://schemas.openxmlformats.org/drawingml/2006/picture">
            <wp:extent cx="5486400" cy="2704355"/>
            <wp:docPr id="4" name="Picture 4"/>
            <wp:cNvGraphicFramePr>
              <a:graphicFrameLocks noChangeAspect="1"/>
            </wp:cNvGraphicFramePr>
            <a:graphic>
              <a:graphicData uri="http://schemas.openxmlformats.org/drawingml/2006/picture">
                <pic:pic>
                  <pic:nvPicPr>
                    <pic:cNvPr id="0" name="chart_max_nocturnal_000020_03.png"/>
                    <pic:cNvPicPr/>
                  </pic:nvPicPr>
                  <pic:blipFill>
                    <a:blip r:embed="rId13"/>
                    <a:stretch>
                      <a:fillRect/>
                    </a:stretch>
                  </pic:blipFill>
                  <pic:spPr>
                    <a:xfrm>
                      <a:off x="0" y="0"/>
                      <a:ext cx="5486400" cy="2704355"/>
                    </a:xfrm>
                    <a:prstGeom prst="rect"/>
                  </pic:spPr>
                </pic:pic>
              </a:graphicData>
            </a:graphic>
          </wp:inline>
        </w:drawing>
      </w:r>
    </w:p>
    <w:p>
      <w:pPr>
        <w:jc w:val="both"/>
      </w:pPr>
      <w:r>
        <w:rPr>
          <w:color w:val="000000"/>
        </w:rPr>
        <w:t>El nodo Módulo ABC registró 15 alerta(s) durante 12 día(s) del periodo analizado. La periodicidad de las alertas es intermitente (más del 20% de los días). Se identificó una proyección de filtración de 401,2 m³ ($499.472), lo que indica un patrón de fuga constante durante el periodo.</w:t>
      </w:r>
    </w:p>
    <w:p/>
    <w:p>
      <w:pPr>
        <w:keepNext/>
        <w:widowControl/>
        <w:spacing w:after="60"/>
      </w:pPr>
      <w:r>
        <w:rPr>
          <w:b/>
          <w:color w:val="003366"/>
        </w:rPr>
        <w:t>DÍA CON MAYOR CONSUMO NOCTURNO - MÓDULO E (24-06-26):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20_04.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Módulo E registró 11 alerta(s) durante 10 día(s) del periodo analizado. La periodicidad de las alertas es intermitente (más del 20% de los días). Se identificó una proyección de filtración de 126,9 m³ ($157.970), lo que indica un patrón de fuga constante durante el periodo.</w:t>
      </w:r>
    </w:p>
    <w:p/>
    <w:p>
      <w:pPr>
        <w:keepNext/>
        <w:widowControl/>
        <w:spacing w:after="60"/>
      </w:pPr>
      <w:r>
        <w:rPr>
          <w:b/>
          <w:color w:val="003366"/>
        </w:rPr>
        <w:t>PERFILES HORARIOS Y PROYECCIÓN (SERIE API — ESTILO APP WES)</w:t>
      </w:r>
    </w:p>
    <w:p>
      <w:pPr>
        <w:jc w:val="both"/>
      </w:pPr>
      <w:r>
        <w:t>Los siguientes gráficos replican el perfil horario de la app WES (sin captura de pantalla). La proyección mensual usa consumo en madrugada (00:00–06:59) extrapolado a 24 h × 30 días, útil para estimar ahorro con equipo de control cuando no hay alertas MyAlert recientes.</w:t>
      </w:r>
    </w:p>
    <w:p/>
    <w:p>
      <w:pPr>
        <w:keepNext/>
        <w:widowControl/>
        <w:spacing w:after="60"/>
      </w:pPr>
      <w:r>
        <w:rPr>
          <w:b/>
          <w:color w:val="003366"/>
        </w:rPr>
        <w:t>DEPOSITO (000020-01)</w:t>
      </w:r>
    </w:p>
    <w:p>
      <w:r>
        <w:rPr>
          <w:b/>
        </w:rPr>
        <w:t xml:space="preserve">Consumo nocturno en el periodo: </w:t>
      </w:r>
      <w:r>
        <w:t xml:space="preserve">166,5 m³. </w:t>
      </w:r>
      <w:r>
        <w:rPr>
          <w:b/>
        </w:rPr>
        <w:t xml:space="preserve">Proyección a 30 días (24 h/día): </w:t>
      </w:r>
      <w:r>
        <w:t>571 m³ ($710.904 referencial).</w:t>
      </w:r>
    </w:p>
    <w:p>
      <w:pPr>
        <w:keepNext/>
        <w:widowControl/>
        <w:spacing w:after="60"/>
        <w:jc w:val="center"/>
      </w:pPr>
      <w:r>
        <w:drawing>
          <wp:inline xmlns:a="http://schemas.openxmlformats.org/drawingml/2006/main" xmlns:pic="http://schemas.openxmlformats.org/drawingml/2006/picture">
            <wp:extent cx="5486400" cy="2445387"/>
            <wp:docPr id="6" name="Picture 6"/>
            <wp:cNvGraphicFramePr>
              <a:graphicFrameLocks noChangeAspect="1"/>
            </wp:cNvGraphicFramePr>
            <a:graphic>
              <a:graphicData uri="http://schemas.openxmlformats.org/drawingml/2006/picture">
                <pic:pic>
                  <pic:nvPicPr>
                    <pic:cNvPr id="0" name="app_horario_000020_01.png"/>
                    <pic:cNvPicPr/>
                  </pic:nvPicPr>
                  <pic:blipFill>
                    <a:blip r:embed="rId15"/>
                    <a:stretch>
                      <a:fillRect/>
                    </a:stretch>
                  </pic:blipFill>
                  <pic:spPr>
                    <a:xfrm>
                      <a:off x="0" y="0"/>
                      <a:ext cx="5486400" cy="2445387"/>
                    </a:xfrm>
                    <a:prstGeom prst="rect"/>
                  </pic:spPr>
                </pic:pic>
              </a:graphicData>
            </a:graphic>
          </wp:inline>
        </w:drawing>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7" name="Picture 7"/>
            <wp:cNvGraphicFramePr>
              <a:graphicFrameLocks noChangeAspect="1"/>
            </wp:cNvGraphicFramePr>
            <a:graphic>
              <a:graphicData uri="http://schemas.openxmlformats.org/drawingml/2006/picture">
                <pic:pic>
                  <pic:nvPicPr>
                    <pic:cNvPr id="0" name="chart_comparacion_mensual_agregada.png"/>
                    <pic:cNvPicPr/>
                  </pic:nvPicPr>
                  <pic:blipFill>
                    <a:blip r:embed="rId16"/>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Deposito, Modulo D, Módulo ABC y Módulo E.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