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AGUNSA</w:t>
      </w:r>
    </w:p>
    <w:p>
      <w:pPr>
        <w:jc w:val="center"/>
      </w:pPr>
      <w:r>
        <w:t>MONITOREO WES</w:t>
        <w:br/>
        <w:t>Análisis consolidado de 4 puntos de monitoreo</w:t>
        <w:br/>
        <w:t>Rango: 01-06-26 - 30-06-26</w:t>
        <w:br/>
        <w:t>Generado: 02-07-26</w:t>
      </w:r>
    </w:p>
    <w:p>
      <w:pPr>
        <w:pStyle w:val="Heading1"/>
        <w:keepNext/>
        <w:widowControl/>
        <w:spacing w:after="60"/>
      </w:pPr>
      <w:r>
        <w:rPr>
          <w:b/>
          <w:color w:val="003366"/>
        </w:rPr>
        <w:t>RESUMEN EJECUTIVO AGREGADO</w:t>
      </w:r>
    </w:p>
    <w:p>
      <w:r>
        <w:t>Puntos de monitoreo analizados: 4.</w:t>
        <w:br/>
      </w:r>
      <w:r>
        <w:t>Consumo total agregado: 1.730,4 m³.</w:t>
        <w:br/>
      </w:r>
      <w:r>
        <w:t>Consumo promedio por punto: 432,6 m³.</w:t>
        <w:br/>
      </w:r>
      <w:r>
        <w:t>Total de alertas registradas: 45.</w:t>
        <w:br/>
      </w:r>
      <w:r>
        <w:t>Promedio de alerta agregado: 0,2 m³/h.</w:t>
        <w:br/>
      </w:r>
      <w:r>
        <w:t>Proyección diaria de consumo nocturno agregada: 4,3 m³/día.</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31693"/>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31693"/>
                    </a:xfrm>
                    <a:prstGeom prst="rect"/>
                  </pic:spPr>
                </pic:pic>
              </a:graphicData>
            </a:graphic>
          </wp:inline>
        </w:drawing>
      </w:r>
    </w:p>
    <w:p/>
    <w:p>
      <w:pPr>
        <w:jc w:val="both"/>
      </w:pPr>
      <w:r>
        <w:rPr>
          <w:color w:val="000000"/>
        </w:rPr>
        <w:t>El análisis comparativo revela que el punto con mayor consumo es Deposito, con un total de 768,2 m³ durante el periodo analizado. Este valor representa un 77,6% por encima del promedio (432,6 m³ por punto), indicando una demanda significativamente superior a la media. Por otro lado, el punto con menor consumo es Módulo E, con un total de 120,8 m³. Este valor representa un 72,1% por debajo del promedio, mostrando una demanda significativamente inferior. La diferencia entre el punto de mayor y menor consumo es considerable, siendo el consumo máximo aproximadamente 6,4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15"/>
        <w:gridCol w:w="815"/>
        <w:gridCol w:w="1223"/>
        <w:gridCol w:w="1087"/>
        <w:gridCol w:w="1630"/>
        <w:gridCol w:w="1630"/>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Deposito</w:t>
            </w:r>
          </w:p>
        </w:tc>
        <w:tc>
          <w:tcPr>
            <w:tcW w:type="dxa" w:w="1440"/>
            <w:noWrap/>
          </w:tcPr>
          <w:p>
            <w:r>
              <w:t>768,2</w:t>
            </w:r>
          </w:p>
        </w:tc>
        <w:tc>
          <w:tcPr>
            <w:tcW w:type="dxa" w:w="1440"/>
            <w:noWrap/>
          </w:tcPr>
          <w:p>
            <w:r>
              <w:t>0</w:t>
            </w:r>
          </w:p>
        </w:tc>
        <w:tc>
          <w:tcPr>
            <w:tcW w:type="dxa" w:w="1440"/>
            <w:noWrap/>
          </w:tcPr>
          <w:p>
            <w:pPr>
              <w:jc w:val="left"/>
            </w:pPr>
            <w:r>
              <w:t>166,5 m³</w:t>
            </w:r>
          </w:p>
          <w:p>
            <w:pPr>
              <w:jc w:val="left"/>
            </w:pPr>
            <w:r>
              <w:t>(30 días, 100%)</w:t>
            </w:r>
          </w:p>
        </w:tc>
        <w:tc>
          <w:tcPr>
            <w:tcW w:type="dxa" w:w="1440"/>
            <w:noWrap/>
          </w:tcPr>
          <w:p>
            <w:pPr>
              <w:jc w:val="left"/>
            </w:pPr>
            <w:r>
              <w:t>571 m³</w:t>
            </w:r>
          </w:p>
          <w:p>
            <w:pPr>
              <w:jc w:val="left"/>
            </w:pPr>
            <w:r>
              <w:t>(74,3%)</w:t>
            </w:r>
          </w:p>
        </w:tc>
      </w:tr>
      <w:tr>
        <w:tc>
          <w:tcPr>
            <w:tcW w:type="dxa" w:w="1440"/>
            <w:noWrap/>
          </w:tcPr>
          <w:p>
            <w:r>
              <w:t>2</w:t>
            </w:r>
          </w:p>
        </w:tc>
        <w:tc>
          <w:tcPr>
            <w:tcW w:type="dxa" w:w="1440"/>
            <w:noWrap/>
          </w:tcPr>
          <w:p>
            <w:r>
              <w:t>Módulo ABC</w:t>
            </w:r>
          </w:p>
        </w:tc>
        <w:tc>
          <w:tcPr>
            <w:tcW w:type="dxa" w:w="1440"/>
            <w:noWrap/>
          </w:tcPr>
          <w:p>
            <w:r>
              <w:t>422,1</w:t>
            </w:r>
          </w:p>
        </w:tc>
        <w:tc>
          <w:tcPr>
            <w:tcW w:type="dxa" w:w="1440"/>
            <w:noWrap/>
          </w:tcPr>
          <w:p>
            <w:r>
              <w:t>15</w:t>
            </w:r>
          </w:p>
        </w:tc>
        <w:tc>
          <w:tcPr>
            <w:tcW w:type="dxa" w:w="1440"/>
            <w:noWrap/>
          </w:tcPr>
          <w:p>
            <w:pPr>
              <w:jc w:val="left"/>
            </w:pPr>
            <w:r>
              <w:t>128,8 m³</w:t>
            </w:r>
          </w:p>
          <w:p>
            <w:pPr>
              <w:jc w:val="left"/>
            </w:pPr>
            <w:r>
              <w:t>(30 días, 100%)</w:t>
            </w:r>
          </w:p>
        </w:tc>
        <w:tc>
          <w:tcPr>
            <w:tcW w:type="dxa" w:w="1440"/>
            <w:noWrap/>
          </w:tcPr>
          <w:p>
            <w:pPr>
              <w:jc w:val="left"/>
            </w:pPr>
            <w:r>
              <w:t>441,7 m³</w:t>
            </w:r>
          </w:p>
          <w:p>
            <w:pPr>
              <w:jc w:val="left"/>
            </w:pPr>
            <w:r>
              <w:t>(104,7%)</w:t>
            </w:r>
          </w:p>
        </w:tc>
      </w:tr>
      <w:tr>
        <w:tc>
          <w:tcPr>
            <w:tcW w:type="dxa" w:w="1440"/>
            <w:noWrap/>
          </w:tcPr>
          <w:p>
            <w:r>
              <w:t>3</w:t>
            </w:r>
          </w:p>
        </w:tc>
        <w:tc>
          <w:tcPr>
            <w:tcW w:type="dxa" w:w="1440"/>
            <w:noWrap/>
          </w:tcPr>
          <w:p>
            <w:r>
              <w:t>Modulo D</w:t>
            </w:r>
          </w:p>
        </w:tc>
        <w:tc>
          <w:tcPr>
            <w:tcW w:type="dxa" w:w="1440"/>
            <w:noWrap/>
          </w:tcPr>
          <w:p>
            <w:r>
              <w:t>419,2</w:t>
            </w:r>
          </w:p>
        </w:tc>
        <w:tc>
          <w:tcPr>
            <w:tcW w:type="dxa" w:w="1440"/>
            <w:noWrap/>
          </w:tcPr>
          <w:p>
            <w:r>
              <w:t>19</w:t>
            </w:r>
          </w:p>
        </w:tc>
        <w:tc>
          <w:tcPr>
            <w:tcW w:type="dxa" w:w="1440"/>
            <w:noWrap/>
          </w:tcPr>
          <w:p>
            <w:pPr>
              <w:jc w:val="left"/>
            </w:pPr>
            <w:r>
              <w:t>101,8 m³</w:t>
            </w:r>
          </w:p>
          <w:p>
            <w:pPr>
              <w:jc w:val="left"/>
            </w:pPr>
            <w:r>
              <w:t>(30 días, 100%)</w:t>
            </w:r>
          </w:p>
        </w:tc>
        <w:tc>
          <w:tcPr>
            <w:tcW w:type="dxa" w:w="1440"/>
            <w:noWrap/>
          </w:tcPr>
          <w:p>
            <w:pPr>
              <w:jc w:val="left"/>
            </w:pPr>
            <w:r>
              <w:t>348,9 m³</w:t>
            </w:r>
          </w:p>
          <w:p>
            <w:pPr>
              <w:jc w:val="left"/>
            </w:pPr>
            <w:r>
              <w:t>(83,2%)</w:t>
            </w:r>
          </w:p>
        </w:tc>
      </w:tr>
      <w:tr>
        <w:tc>
          <w:tcPr>
            <w:tcW w:type="dxa" w:w="1440"/>
            <w:noWrap/>
          </w:tcPr>
          <w:p>
            <w:r>
              <w:t>4</w:t>
            </w:r>
          </w:p>
        </w:tc>
        <w:tc>
          <w:tcPr>
            <w:tcW w:type="dxa" w:w="1440"/>
            <w:noWrap/>
          </w:tcPr>
          <w:p>
            <w:r>
              <w:t>Módulo E</w:t>
            </w:r>
          </w:p>
        </w:tc>
        <w:tc>
          <w:tcPr>
            <w:tcW w:type="dxa" w:w="1440"/>
            <w:noWrap/>
          </w:tcPr>
          <w:p>
            <w:r>
              <w:t>120,8</w:t>
            </w:r>
          </w:p>
        </w:tc>
        <w:tc>
          <w:tcPr>
            <w:tcW w:type="dxa" w:w="1440"/>
            <w:noWrap/>
          </w:tcPr>
          <w:p>
            <w:r>
              <w:t>11</w:t>
            </w:r>
          </w:p>
        </w:tc>
        <w:tc>
          <w:tcPr>
            <w:tcW w:type="dxa" w:w="1440"/>
            <w:noWrap/>
          </w:tcPr>
          <w:p>
            <w:pPr>
              <w:jc w:val="left"/>
            </w:pPr>
            <w:r>
              <w:t>37 m³</w:t>
            </w:r>
          </w:p>
          <w:p>
            <w:pPr>
              <w:jc w:val="left"/>
            </w:pPr>
            <w:r>
              <w:t>(30 días, 100%)</w:t>
            </w:r>
          </w:p>
        </w:tc>
        <w:tc>
          <w:tcPr>
            <w:tcW w:type="dxa" w:w="1440"/>
            <w:noWrap/>
          </w:tcPr>
          <w:p>
            <w:pPr>
              <w:jc w:val="left"/>
            </w:pPr>
            <w:r>
              <w:t>126,9 m³</w:t>
            </w:r>
          </w:p>
          <w:p>
            <w:pPr>
              <w:jc w:val="left"/>
            </w:pPr>
            <w:r>
              <w:t>(105%)</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1.730,4</w:t>
            </w:r>
          </w:p>
        </w:tc>
        <w:tc>
          <w:tcPr>
            <w:tcW w:type="dxa" w:w="1440"/>
            <w:noWrap/>
            <w:shd w:val="clear" w:fill="FFE6E6"/>
          </w:tcPr>
          <w:p>
            <w:pPr>
              <w:jc w:val="left"/>
            </w:pPr>
            <w:r>
              <w:rPr>
                <w:b/>
                <w:color w:val="FF0000"/>
              </w:rPr>
              <w:t>45</w:t>
            </w:r>
          </w:p>
        </w:tc>
        <w:tc>
          <w:tcPr>
            <w:tcW w:type="dxa" w:w="1440"/>
            <w:noWrap/>
            <w:shd w:val="clear" w:fill="FFE6E6"/>
          </w:tcPr>
          <w:p>
            <w:pPr>
              <w:jc w:val="left"/>
            </w:pPr>
            <w:r>
              <w:rPr>
                <w:b/>
                <w:color w:val="FF0000"/>
              </w:rPr>
              <w:t>434,2 m³</w:t>
            </w:r>
          </w:p>
        </w:tc>
        <w:tc>
          <w:tcPr>
            <w:tcW w:type="dxa" w:w="1440"/>
            <w:noWrap/>
            <w:shd w:val="clear" w:fill="FFE6E6"/>
          </w:tcPr>
          <w:p>
            <w:pPr>
              <w:jc w:val="left"/>
            </w:pPr>
            <w:r>
              <w:rPr>
                <w:b/>
                <w:color w:val="FF0000"/>
              </w:rPr>
              <w:t>1.488,5 m³</w:t>
            </w:r>
          </w:p>
        </w:tc>
      </w:tr>
    </w:tbl>
    <w:p/>
    <w:p>
      <w:pPr>
        <w:keepNext/>
        <w:widowControl/>
        <w:spacing w:after="60"/>
        <w:jc w:val="center"/>
      </w:pPr>
      <w:r>
        <w:drawing>
          <wp:inline xmlns:a="http://schemas.openxmlformats.org/drawingml/2006/main" xmlns:pic="http://schemas.openxmlformats.org/drawingml/2006/picture">
            <wp:extent cx="5486400" cy="3415099"/>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5099"/>
                    </a:xfrm>
                    <a:prstGeom prst="rect"/>
                  </pic:spPr>
                </pic:pic>
              </a:graphicData>
            </a:graphic>
          </wp:inline>
        </w:drawing>
      </w:r>
    </w:p>
    <w:p/>
    <w:p>
      <w:pPr>
        <w:keepNext/>
        <w:widowControl/>
        <w:spacing w:after="60"/>
      </w:pPr>
      <w:r>
        <w:rPr>
          <w:b/>
          <w:color w:val="003366"/>
        </w:rPr>
        <w:t>DÍA CON MAYOR CONSUMO NOCTURNO - MODULO D (27-06-26):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20_02.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Modulo D registró 19 alerta(s) durante 17 día(s) del periodo analizado. La periodicidad de las alertas es regular (más del 50% de los días). Se identificó una proyección de filtración de 348,9 m³ ($434.410), lo que indica un patrón de fuga constante durante el periodo.</w:t>
      </w:r>
    </w:p>
    <w:p/>
    <w:p>
      <w:pPr>
        <w:keepNext/>
        <w:widowControl/>
        <w:spacing w:after="60"/>
      </w:pPr>
      <w:r>
        <w:rPr>
          <w:b/>
          <w:color w:val="003366"/>
        </w:rPr>
        <w:t>DÍA CON MAYOR CONSUMO NOCTURNO - MÓDULO ABC (26-06-26):</w:t>
      </w:r>
    </w:p>
    <w:p>
      <w:pPr>
        <w:keepNext/>
        <w:widowControl/>
        <w:spacing w:after="60"/>
        <w:jc w:val="center"/>
      </w:pPr>
      <w:r>
        <w:drawing>
          <wp:inline xmlns:a="http://schemas.openxmlformats.org/drawingml/2006/main" xmlns:pic="http://schemas.openxmlformats.org/drawingml/2006/picture">
            <wp:extent cx="5486400" cy="2704355"/>
            <wp:docPr id="4" name="Picture 4"/>
            <wp:cNvGraphicFramePr>
              <a:graphicFrameLocks noChangeAspect="1"/>
            </wp:cNvGraphicFramePr>
            <a:graphic>
              <a:graphicData uri="http://schemas.openxmlformats.org/drawingml/2006/picture">
                <pic:pic>
                  <pic:nvPicPr>
                    <pic:cNvPr id="0" name="chart_max_nocturnal_000020_03.png"/>
                    <pic:cNvPicPr/>
                  </pic:nvPicPr>
                  <pic:blipFill>
                    <a:blip r:embed="rId13"/>
                    <a:stretch>
                      <a:fillRect/>
                    </a:stretch>
                  </pic:blipFill>
                  <pic:spPr>
                    <a:xfrm>
                      <a:off x="0" y="0"/>
                      <a:ext cx="5486400" cy="2704355"/>
                    </a:xfrm>
                    <a:prstGeom prst="rect"/>
                  </pic:spPr>
                </pic:pic>
              </a:graphicData>
            </a:graphic>
          </wp:inline>
        </w:drawing>
      </w:r>
    </w:p>
    <w:p>
      <w:pPr>
        <w:jc w:val="both"/>
      </w:pPr>
      <w:r>
        <w:rPr>
          <w:color w:val="000000"/>
        </w:rPr>
        <w:t>El nodo Módulo ABC registró 15 alerta(s) durante 12 día(s) del periodo analizado. La periodicidad de las alertas es intermitente (más del 20% de los días). Se identificó una proyección de filtración de 441,7 m³ ($549.959), lo que indica un patrón de fuga constante durante el periodo.</w:t>
      </w:r>
    </w:p>
    <w:p/>
    <w:p>
      <w:pPr>
        <w:keepNext/>
        <w:widowControl/>
        <w:spacing w:after="60"/>
      </w:pPr>
      <w:r>
        <w:rPr>
          <w:b/>
          <w:color w:val="003366"/>
        </w:rPr>
        <w:t>DÍA CON MAYOR CONSUMO NOCTURNO - MÓDULO E (24-06-26):</w:t>
      </w:r>
    </w:p>
    <w:p>
      <w:pPr>
        <w:keepNext/>
        <w:widowControl/>
        <w:spacing w:after="60"/>
        <w:jc w:val="center"/>
      </w:pPr>
      <w:r>
        <w:drawing>
          <wp:inline xmlns:a="http://schemas.openxmlformats.org/drawingml/2006/main" xmlns:pic="http://schemas.openxmlformats.org/drawingml/2006/picture">
            <wp:extent cx="5486400" cy="2702533"/>
            <wp:docPr id="5" name="Picture 5"/>
            <wp:cNvGraphicFramePr>
              <a:graphicFrameLocks noChangeAspect="1"/>
            </wp:cNvGraphicFramePr>
            <a:graphic>
              <a:graphicData uri="http://schemas.openxmlformats.org/drawingml/2006/picture">
                <pic:pic>
                  <pic:nvPicPr>
                    <pic:cNvPr id="0" name="chart_max_nocturnal_000020_04.png"/>
                    <pic:cNvPicPr/>
                  </pic:nvPicPr>
                  <pic:blipFill>
                    <a:blip r:embed="rId14"/>
                    <a:stretch>
                      <a:fillRect/>
                    </a:stretch>
                  </pic:blipFill>
                  <pic:spPr>
                    <a:xfrm>
                      <a:off x="0" y="0"/>
                      <a:ext cx="5486400" cy="2702533"/>
                    </a:xfrm>
                    <a:prstGeom prst="rect"/>
                  </pic:spPr>
                </pic:pic>
              </a:graphicData>
            </a:graphic>
          </wp:inline>
        </w:drawing>
      </w:r>
    </w:p>
    <w:p>
      <w:pPr>
        <w:jc w:val="both"/>
      </w:pPr>
      <w:r>
        <w:rPr>
          <w:color w:val="000000"/>
        </w:rPr>
        <w:t>El nodo Módulo E registró 11 alerta(s) durante 10 día(s) del periodo analizado. La periodicidad de las alertas es intermitente (más del 20% de los días). Se identificó una proyección de filtración de 126,9 m³ ($157.970), lo que indica un patrón de fuga constante durante el periodo.</w:t>
      </w:r>
    </w:p>
    <w:p/>
    <w:p>
      <w:pPr>
        <w:keepNext/>
        <w:widowControl/>
        <w:spacing w:after="60"/>
      </w:pPr>
      <w:r>
        <w:rPr>
          <w:b/>
          <w:color w:val="003366"/>
        </w:rPr>
        <w:t>PERFILES HORARIOS Y PROYECCIÓN (SERIE API — ESTILO APP WES)</w:t>
      </w:r>
    </w:p>
    <w:p>
      <w:pPr>
        <w:jc w:val="both"/>
      </w:pPr>
      <w:r>
        <w:t>Los siguientes gráficos replican el perfil horario de la app WES (sin captura de pantalla). La proyección mensual usa consumo en madrugada (00:00–06:59) extrapolado a 24 h × 30 días, útil para estimar ahorro con equipo de control cuando no hay alertas MyAlert recientes.</w:t>
      </w:r>
    </w:p>
    <w:p/>
    <w:p>
      <w:pPr>
        <w:keepNext/>
        <w:widowControl/>
        <w:spacing w:after="60"/>
      </w:pPr>
      <w:r>
        <w:rPr>
          <w:b/>
          <w:color w:val="003366"/>
        </w:rPr>
        <w:t>DEPOSITO (000020-01)</w:t>
      </w:r>
    </w:p>
    <w:p>
      <w:r>
        <w:rPr>
          <w:b/>
        </w:rPr>
        <w:t xml:space="preserve">Consumo nocturno en el periodo: </w:t>
      </w:r>
      <w:r>
        <w:t xml:space="preserve">166,5 m³. </w:t>
      </w:r>
      <w:r>
        <w:rPr>
          <w:b/>
        </w:rPr>
        <w:t xml:space="preserve">Proyección a 30 días (24 h/día): </w:t>
      </w:r>
      <w:r>
        <w:t>571 m³ ($710.904 referencial).</w:t>
      </w:r>
    </w:p>
    <w:p>
      <w:pPr>
        <w:keepNext/>
        <w:widowControl/>
        <w:spacing w:after="60"/>
        <w:jc w:val="center"/>
      </w:pPr>
      <w:r>
        <w:drawing>
          <wp:inline xmlns:a="http://schemas.openxmlformats.org/drawingml/2006/main" xmlns:pic="http://schemas.openxmlformats.org/drawingml/2006/picture">
            <wp:extent cx="5486400" cy="2445387"/>
            <wp:docPr id="6" name="Picture 6"/>
            <wp:cNvGraphicFramePr>
              <a:graphicFrameLocks noChangeAspect="1"/>
            </wp:cNvGraphicFramePr>
            <a:graphic>
              <a:graphicData uri="http://schemas.openxmlformats.org/drawingml/2006/picture">
                <pic:pic>
                  <pic:nvPicPr>
                    <pic:cNvPr id="0" name="app_horario_000020_01.png"/>
                    <pic:cNvPicPr/>
                  </pic:nvPicPr>
                  <pic:blipFill>
                    <a:blip r:embed="rId15"/>
                    <a:stretch>
                      <a:fillRect/>
                    </a:stretch>
                  </pic:blipFill>
                  <pic:spPr>
                    <a:xfrm>
                      <a:off x="0" y="0"/>
                      <a:ext cx="5486400" cy="2445387"/>
                    </a:xfrm>
                    <a:prstGeom prst="rect"/>
                  </pic:spPr>
                </pic:pic>
              </a:graphicData>
            </a:graphic>
          </wp:inline>
        </w:drawing>
      </w:r>
    </w:p>
    <w:p/>
    <w:p>
      <w:pPr>
        <w:keepNext/>
        <w:widowControl/>
        <w:spacing w:after="60"/>
      </w:pPr>
      <w:r>
        <w:rPr>
          <w:b/>
          <w:color w:val="003366"/>
        </w:rPr>
        <w:t>COMPARACIÓN MENSUAL: CONSUMO NOCTURNO VS CONSUMO EFECTIVO:</w:t>
      </w:r>
    </w:p>
    <w:p>
      <w:pPr>
        <w:jc w:val="both"/>
      </w:pPr>
      <w:r>
        <w:rPr>
          <w:color w:val="000000"/>
        </w:rPr>
        <w:t>La comparación mensual proyecta los valores diarios a un mes completo (30 días). La proyección mensual de consumo nocturno se obtiene multiplicando la proyección diaria de consumo nocturno agregada por 30 días, mientras que el consumo efectivo mensual se calcula multiplicando el consumo efectivo promedio diario agregado por 30 días. Esta comparación permite visualizar el impacto económico de los consumos nocturnos en un periodo mensual, valorizando el consumo nocturno en pesos chilenos según el precio por metro cúbico del punto.</w:t>
      </w:r>
    </w:p>
    <w:p/>
    <w:p>
      <w:pPr>
        <w:keepNext/>
        <w:widowControl/>
        <w:spacing w:after="60"/>
        <w:jc w:val="center"/>
      </w:pPr>
      <w:r>
        <w:drawing>
          <wp:inline xmlns:a="http://schemas.openxmlformats.org/drawingml/2006/main" xmlns:pic="http://schemas.openxmlformats.org/drawingml/2006/picture">
            <wp:extent cx="3657600" cy="2228619"/>
            <wp:docPr id="7" name="Picture 7"/>
            <wp:cNvGraphicFramePr>
              <a:graphicFrameLocks noChangeAspect="1"/>
            </wp:cNvGraphicFramePr>
            <a:graphic>
              <a:graphicData uri="http://schemas.openxmlformats.org/drawingml/2006/picture">
                <pic:pic>
                  <pic:nvPicPr>
                    <pic:cNvPr id="0" name="chart_comparacion_mensual_agregada.png"/>
                    <pic:cNvPicPr/>
                  </pic:nvPicPr>
                  <pic:blipFill>
                    <a:blip r:embed="rId16"/>
                    <a:stretch>
                      <a:fillRect/>
                    </a:stretch>
                  </pic:blipFill>
                  <pic:spPr>
                    <a:xfrm>
                      <a:off x="0" y="0"/>
                      <a:ext cx="3657600" cy="2228619"/>
                    </a:xfrm>
                    <a:prstGeom prst="rect"/>
                  </pic:spPr>
                </pic:pic>
              </a:graphicData>
            </a:graphic>
          </wp:inline>
        </w:drawing>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proyecciones de fuga en los siguientes puntos de monitoreo: Deposito, Módulo ABC, Modulo D y Módulo E. Estos puntos presentan consumos nocturnos significativos que sugieren la presencia de fugas constantes durante el periodo analizado.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