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4 puntos de monitoreo</w:t>
        <w:br/>
        <w:t>Rango: 01-03-26 - 31-03-26</w:t>
        <w:br/>
        <w:t>Generado: 02-04-26 20:09</w:t>
      </w:r>
    </w:p>
    <w:p>
      <w:pPr>
        <w:pStyle w:val="Heading1"/>
        <w:keepNext/>
        <w:widowControl/>
        <w:spacing w:after="60"/>
      </w:pPr>
      <w:r>
        <w:rPr>
          <w:b/>
          <w:color w:val="003366"/>
        </w:rPr>
        <w:t>RESUMEN EJECUTIVO AGREGADO</w:t>
      </w:r>
    </w:p>
    <w:p>
      <w:r>
        <w:t>Puntos de monitoreo analizados: 4.</w:t>
        <w:br/>
      </w:r>
      <w:r>
        <w:t>Consumo total agregado: 4.507,1 m³.</w:t>
        <w:br/>
      </w:r>
      <w:r>
        <w:t>Consumo promedio por punto: 1.126,8 m³.</w:t>
        <w:br/>
      </w:r>
      <w:r>
        <w:t>Total de alertas registradas: 34.</w:t>
        <w:br/>
      </w:r>
      <w:r>
        <w:t>Promedio de alerta agregado: 0,7 m³/h.</w:t>
        <w:br/>
      </w:r>
      <w:r>
        <w:t>Proyección diaria de consumo nocturno agregada: 16,8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1.612,2 m³ durante el periodo analizado. Este valor representa un 43,1% por encima del promedio (1.126,8 m³ por punto), indicando una demanda significativamente superior a la media. Por otro lado, el punto con menor consumo es Equitación, con un total de 528,9 m³. Este valor representa un 53,1% por debajo del promedio, mostrando una demanda significativamente inferior. La diferencia entre el punto de mayor y menor consumo es considerable, siendo el consumo máximo aproximadamente 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085"/>
        <w:gridCol w:w="1149"/>
        <w:gridCol w:w="1021"/>
        <w:gridCol w:w="1595"/>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1.612,2</w:t>
            </w:r>
          </w:p>
        </w:tc>
        <w:tc>
          <w:tcPr>
            <w:tcW w:type="dxa" w:w="1440"/>
            <w:noWrap/>
          </w:tcPr>
          <w:p>
            <w:r>
              <w:t>28</w:t>
            </w:r>
          </w:p>
        </w:tc>
        <w:tc>
          <w:tcPr>
            <w:tcW w:type="dxa" w:w="1440"/>
            <w:noWrap/>
          </w:tcPr>
          <w:p>
            <w:pPr>
              <w:jc w:val="left"/>
            </w:pPr>
            <w:r>
              <w:t>175,9 m³</w:t>
            </w:r>
          </w:p>
          <w:p>
            <w:pPr>
              <w:jc w:val="left"/>
            </w:pPr>
            <w:r>
              <w:t>(31 días, 100%)</w:t>
            </w:r>
          </w:p>
        </w:tc>
        <w:tc>
          <w:tcPr>
            <w:tcW w:type="dxa" w:w="1440"/>
            <w:noWrap/>
          </w:tcPr>
          <w:p>
            <w:pPr>
              <w:jc w:val="left"/>
            </w:pPr>
            <w:r>
              <w:t>703,6 m³</w:t>
            </w:r>
          </w:p>
          <w:p>
            <w:pPr>
              <w:jc w:val="left"/>
            </w:pPr>
            <w:r>
              <w:t>(43,6%)</w:t>
            </w:r>
          </w:p>
        </w:tc>
      </w:tr>
      <w:tr>
        <w:tc>
          <w:tcPr>
            <w:tcW w:type="dxa" w:w="1440"/>
            <w:noWrap/>
          </w:tcPr>
          <w:p>
            <w:r>
              <w:t>2</w:t>
            </w:r>
          </w:p>
        </w:tc>
        <w:tc>
          <w:tcPr>
            <w:tcW w:type="dxa" w:w="1440"/>
            <w:noWrap/>
          </w:tcPr>
          <w:p>
            <w:r>
              <w:t>Calle de Servicio</w:t>
            </w:r>
          </w:p>
        </w:tc>
        <w:tc>
          <w:tcPr>
            <w:tcW w:type="dxa" w:w="1440"/>
            <w:noWrap/>
          </w:tcPr>
          <w:p>
            <w:r>
              <w:t>1.370,2</w:t>
            </w:r>
          </w:p>
        </w:tc>
        <w:tc>
          <w:tcPr>
            <w:tcW w:type="dxa" w:w="1440"/>
            <w:noWrap/>
          </w:tcPr>
          <w:p>
            <w:r>
              <w:t>4</w:t>
            </w:r>
          </w:p>
        </w:tc>
        <w:tc>
          <w:tcPr>
            <w:tcW w:type="dxa" w:w="1440"/>
            <w:noWrap/>
          </w:tcPr>
          <w:p>
            <w:pPr>
              <w:jc w:val="left"/>
            </w:pPr>
            <w:r>
              <w:t>338,9 m³</w:t>
            </w:r>
          </w:p>
          <w:p>
            <w:pPr>
              <w:jc w:val="left"/>
            </w:pPr>
            <w:r>
              <w:t>(26 días, 83,9%)</w:t>
            </w:r>
          </w:p>
        </w:tc>
        <w:tc>
          <w:tcPr>
            <w:tcW w:type="dxa" w:w="1440"/>
            <w:noWrap/>
          </w:tcPr>
          <w:p>
            <w:pPr>
              <w:jc w:val="left"/>
            </w:pPr>
            <w:r>
              <w:t>0,0 m³</w:t>
            </w:r>
          </w:p>
          <w:p>
            <w:pPr>
              <w:jc w:val="left"/>
            </w:pPr>
            <w:r>
              <w:t>(0,0%)</w:t>
            </w:r>
          </w:p>
        </w:tc>
      </w:tr>
      <w:tr>
        <w:tc>
          <w:tcPr>
            <w:tcW w:type="dxa" w:w="1440"/>
            <w:noWrap/>
          </w:tcPr>
          <w:p>
            <w:r>
              <w:t>3</w:t>
            </w:r>
          </w:p>
        </w:tc>
        <w:tc>
          <w:tcPr>
            <w:tcW w:type="dxa" w:w="1440"/>
            <w:noWrap/>
          </w:tcPr>
          <w:p>
            <w:r>
              <w:t>Club House CDUC</w:t>
            </w:r>
          </w:p>
        </w:tc>
        <w:tc>
          <w:tcPr>
            <w:tcW w:type="dxa" w:w="1440"/>
            <w:noWrap/>
          </w:tcPr>
          <w:p>
            <w:r>
              <w:t>995,8</w:t>
            </w:r>
          </w:p>
        </w:tc>
        <w:tc>
          <w:tcPr>
            <w:tcW w:type="dxa" w:w="1440"/>
            <w:noWrap/>
          </w:tcPr>
          <w:p>
            <w:r>
              <w:t>1</w:t>
            </w:r>
          </w:p>
        </w:tc>
        <w:tc>
          <w:tcPr>
            <w:tcW w:type="dxa" w:w="1440"/>
            <w:noWrap/>
          </w:tcPr>
          <w:p>
            <w:pPr>
              <w:jc w:val="left"/>
            </w:pPr>
            <w:r>
              <w:t>91 m³</w:t>
            </w:r>
          </w:p>
          <w:p>
            <w:pPr>
              <w:jc w:val="left"/>
            </w:pPr>
            <w:r>
              <w:t>(10 días, 32,3%)</w:t>
            </w:r>
          </w:p>
        </w:tc>
        <w:tc>
          <w:tcPr>
            <w:tcW w:type="dxa" w:w="1440"/>
            <w:noWrap/>
          </w:tcPr>
          <w:p>
            <w:pPr>
              <w:jc w:val="left"/>
            </w:pPr>
            <w:r>
              <w:t>0,0 m³</w:t>
            </w:r>
          </w:p>
          <w:p>
            <w:pPr>
              <w:jc w:val="left"/>
            </w:pPr>
            <w:r>
              <w:t>(0,0%)</w:t>
            </w:r>
          </w:p>
        </w:tc>
      </w:tr>
      <w:tr>
        <w:tc>
          <w:tcPr>
            <w:tcW w:type="dxa" w:w="1440"/>
            <w:noWrap/>
          </w:tcPr>
          <w:p>
            <w:r>
              <w:t>4</w:t>
            </w:r>
          </w:p>
        </w:tc>
        <w:tc>
          <w:tcPr>
            <w:tcW w:type="dxa" w:w="1440"/>
            <w:noWrap/>
          </w:tcPr>
          <w:p>
            <w:r>
              <w:t>Equitación</w:t>
            </w:r>
          </w:p>
        </w:tc>
        <w:tc>
          <w:tcPr>
            <w:tcW w:type="dxa" w:w="1440"/>
            <w:noWrap/>
          </w:tcPr>
          <w:p>
            <w:r>
              <w:t>528,9</w:t>
            </w:r>
          </w:p>
        </w:tc>
        <w:tc>
          <w:tcPr>
            <w:tcW w:type="dxa" w:w="1440"/>
            <w:noWrap/>
          </w:tcPr>
          <w:p>
            <w:r>
              <w:t>1</w:t>
            </w:r>
          </w:p>
        </w:tc>
        <w:tc>
          <w:tcPr>
            <w:tcW w:type="dxa" w:w="1440"/>
            <w:noWrap/>
          </w:tcPr>
          <w:p>
            <w:pPr>
              <w:jc w:val="left"/>
            </w:pPr>
            <w:r>
              <w:t>11,2 m³</w:t>
            </w:r>
          </w:p>
          <w:p>
            <w:pPr>
              <w:jc w:val="left"/>
            </w:pPr>
            <w:r>
              <w:t>(25 días, 80,6%)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4.507,1</w:t>
            </w:r>
          </w:p>
        </w:tc>
        <w:tc>
          <w:tcPr>
            <w:tcW w:type="dxa" w:w="1440"/>
            <w:noWrap/>
            <w:shd w:val="clear" w:fill="FFE6E6"/>
          </w:tcPr>
          <w:p>
            <w:pPr>
              <w:jc w:val="left"/>
            </w:pPr>
            <w:r>
              <w:rPr>
                <w:b/>
                <w:color w:val="FF0000"/>
              </w:rPr>
              <w:t>34</w:t>
            </w:r>
          </w:p>
        </w:tc>
        <w:tc>
          <w:tcPr>
            <w:tcW w:type="dxa" w:w="1440"/>
            <w:noWrap/>
            <w:shd w:val="clear" w:fill="FFE6E6"/>
          </w:tcPr>
          <w:p>
            <w:pPr>
              <w:jc w:val="left"/>
            </w:pPr>
            <w:r>
              <w:rPr>
                <w:b/>
                <w:color w:val="FF0000"/>
              </w:rPr>
              <w:t>616,9 m³</w:t>
            </w:r>
          </w:p>
        </w:tc>
        <w:tc>
          <w:tcPr>
            <w:tcW w:type="dxa" w:w="1440"/>
            <w:noWrap/>
            <w:shd w:val="clear" w:fill="FFE6E6"/>
          </w:tcPr>
          <w:p>
            <w:pPr>
              <w:jc w:val="left"/>
            </w:pPr>
            <w:r>
              <w:rPr>
                <w:b/>
                <w:color w:val="FF0000"/>
              </w:rPr>
              <w:t>703,6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 alerta(s) durante 1 día(s) del periodo analizado. La periodicidad de las alertas es puntual (menos del 20% de los días).</w:t>
      </w:r>
    </w:p>
    <w:p/>
    <w:p>
      <w:pPr>
        <w:keepNext/>
        <w:widowControl/>
        <w:spacing w:after="60"/>
      </w:pPr>
      <w:r>
        <w:rPr>
          <w:b/>
          <w:color w:val="003366"/>
        </w:rPr>
        <w:t>DÍA CON MAYOR CONSUMO NOCTURNO - EQUITACIÓN (07-03-26):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Equitación registró 1 alerta(s) durante 1 día(s) del periodo analizado. La periodicidad de las alertas es puntual (menos del 20% de los días).</w:t>
      </w:r>
    </w:p>
    <w:p/>
    <w:p>
      <w:pPr>
        <w:keepNext/>
        <w:widowControl/>
        <w:spacing w:after="60"/>
      </w:pPr>
      <w:r>
        <w:rPr>
          <w:b/>
          <w:color w:val="003366"/>
        </w:rPr>
        <w:t>DÍA CON MAYOR CONSUMO NOCTURNO - CALLE DE SERVICIO (05-03-26):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Calle de Servicio registró 4 alerta(s) durante 4 día(s) del periodo analizado. La periodicidad de las alertas es puntual (menos del 20% de los días).</w:t>
      </w:r>
    </w:p>
    <w:p/>
    <w:p>
      <w:pPr>
        <w:keepNext/>
        <w:widowControl/>
        <w:spacing w:after="60"/>
      </w:pPr>
      <w:r>
        <w:rPr>
          <w:b/>
          <w:color w:val="003366"/>
        </w:rPr>
        <w:t>DÍA CON MAYOR CONSUMO NOCTURNO - CANCHAS DE TENIS (08-03-26):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Canchas de Tenis registró 28 alerta(s) durante 20 día(s) del periodo analizado. La periodicidad de las alertas es regular (más del 50% de los días). Se identificó una proyección de filtración de 703,6 m³ ($896.386),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Canchas de Tenis, con un volumen proyectado de 703,6 m³ (43,6%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