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CDUC</w:t>
      </w:r>
    </w:p>
    <w:p>
      <w:pPr>
        <w:jc w:val="center"/>
      </w:pPr>
      <w:r>
        <w:t>MONITOREO WES</w:t>
        <w:br/>
        <w:t>Análisis consolidado de 5 puntos de monitoreo</w:t>
        <w:br/>
        <w:t>Rango: 01-01-26 - 06-04-26</w:t>
        <w:br/>
        <w:t>Generado: 07-04-26 15:23</w:t>
      </w:r>
    </w:p>
    <w:p>
      <w:pPr>
        <w:pStyle w:val="Heading1"/>
        <w:keepNext/>
        <w:widowControl/>
        <w:spacing w:after="60"/>
      </w:pPr>
      <w:r>
        <w:rPr>
          <w:b/>
          <w:color w:val="003366"/>
        </w:rPr>
        <w:t>RESUMEN EJECUTIVO AGREGADO</w:t>
      </w:r>
    </w:p>
    <w:p>
      <w:r>
        <w:t>Puntos de monitoreo analizados: 5.</w:t>
        <w:br/>
      </w:r>
      <w:r>
        <w:t>Consumo total agregado: 23.126,7 m³.</w:t>
        <w:br/>
      </w:r>
      <w:r>
        <w:t>Consumo promedio por punto: 4.625,3 m³.</w:t>
        <w:br/>
      </w:r>
      <w:r>
        <w:t>Total de alertas registradas: 108.</w:t>
        <w:br/>
      </w:r>
      <w:r>
        <w:t>Promedio de alerta agregado: 1 m³/h.</w:t>
        <w:br/>
      </w:r>
      <w:r>
        <w:t>Proyección diaria de consumo nocturno agregada: 24,8 m³/día.</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31693"/>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31693"/>
                    </a:xfrm>
                    <a:prstGeom prst="rect"/>
                  </pic:spPr>
                </pic:pic>
              </a:graphicData>
            </a:graphic>
          </wp:inline>
        </w:drawing>
      </w:r>
    </w:p>
    <w:p/>
    <w:p>
      <w:pPr>
        <w:jc w:val="both"/>
      </w:pPr>
      <w:r>
        <w:rPr>
          <w:color w:val="000000"/>
        </w:rPr>
        <w:t>El análisis comparativo revela que el punto con mayor consumo es Canchas de Tenis, con un total de 7.761,3 m³ durante el periodo analizado. Este valor representa un 67,8% por encima del promedio (4.625,3 m³ por punto), indicando una demanda significativamente superior a la media. Por otro lado, el punto con menor consumo es Equitación, con un total de 3.299,5 m³. Este valor representa un 28,7% por debajo del promedio, mostrando una demanda significativamente inferior. La diferencia entre el punto de mayor y menor consumo es considerable, siendo el consumo máximo aproximadamente 2,4 veces superior al mínimo, lo que sugiere variaciones significativas en los patrones de uso entre los diferentes puntos de monitoreo.</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818"/>
        <w:gridCol w:w="1064"/>
        <w:gridCol w:w="1126"/>
        <w:gridCol w:w="1001"/>
        <w:gridCol w:w="1689"/>
        <w:gridCol w:w="1502"/>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Canchas de Tenis</w:t>
            </w:r>
          </w:p>
        </w:tc>
        <w:tc>
          <w:tcPr>
            <w:tcW w:type="dxa" w:w="1440"/>
            <w:noWrap/>
          </w:tcPr>
          <w:p>
            <w:r>
              <w:t>7.761,3</w:t>
            </w:r>
          </w:p>
        </w:tc>
        <w:tc>
          <w:tcPr>
            <w:tcW w:type="dxa" w:w="1440"/>
            <w:noWrap/>
          </w:tcPr>
          <w:p>
            <w:r>
              <w:t>46</w:t>
            </w:r>
          </w:p>
        </w:tc>
        <w:tc>
          <w:tcPr>
            <w:tcW w:type="dxa" w:w="1440"/>
            <w:noWrap/>
          </w:tcPr>
          <w:p>
            <w:pPr>
              <w:jc w:val="left"/>
            </w:pPr>
            <w:r>
              <w:t>1.307,3 m³</w:t>
            </w:r>
          </w:p>
          <w:p>
            <w:pPr>
              <w:jc w:val="left"/>
            </w:pPr>
            <w:r>
              <w:t>(90 días, 93,8%)</w:t>
            </w:r>
          </w:p>
        </w:tc>
        <w:tc>
          <w:tcPr>
            <w:tcW w:type="dxa" w:w="1440"/>
            <w:noWrap/>
          </w:tcPr>
          <w:p>
            <w:pPr>
              <w:jc w:val="left"/>
            </w:pPr>
            <w:r>
              <w:t>0,0 m³</w:t>
            </w:r>
          </w:p>
          <w:p>
            <w:pPr>
              <w:jc w:val="left"/>
            </w:pPr>
            <w:r>
              <w:t>(0,0%)</w:t>
            </w:r>
          </w:p>
        </w:tc>
      </w:tr>
      <w:tr>
        <w:tc>
          <w:tcPr>
            <w:tcW w:type="dxa" w:w="1440"/>
            <w:noWrap/>
          </w:tcPr>
          <w:p>
            <w:r>
              <w:t>2</w:t>
            </w:r>
          </w:p>
        </w:tc>
        <w:tc>
          <w:tcPr>
            <w:tcW w:type="dxa" w:w="1440"/>
            <w:noWrap/>
          </w:tcPr>
          <w:p>
            <w:r>
              <w:t>Calle de Servicio</w:t>
            </w:r>
          </w:p>
        </w:tc>
        <w:tc>
          <w:tcPr>
            <w:tcW w:type="dxa" w:w="1440"/>
            <w:noWrap/>
          </w:tcPr>
          <w:p>
            <w:r>
              <w:t>4.722</w:t>
            </w:r>
          </w:p>
        </w:tc>
        <w:tc>
          <w:tcPr>
            <w:tcW w:type="dxa" w:w="1440"/>
            <w:noWrap/>
          </w:tcPr>
          <w:p>
            <w:r>
              <w:t>13</w:t>
            </w:r>
          </w:p>
        </w:tc>
        <w:tc>
          <w:tcPr>
            <w:tcW w:type="dxa" w:w="1440"/>
            <w:noWrap/>
          </w:tcPr>
          <w:p>
            <w:pPr>
              <w:jc w:val="left"/>
            </w:pPr>
            <w:r>
              <w:t>1.115,1 m³</w:t>
            </w:r>
          </w:p>
          <w:p>
            <w:pPr>
              <w:jc w:val="left"/>
            </w:pPr>
            <w:r>
              <w:t>(91 días, 94,8%)</w:t>
            </w:r>
          </w:p>
        </w:tc>
        <w:tc>
          <w:tcPr>
            <w:tcW w:type="dxa" w:w="1440"/>
            <w:noWrap/>
          </w:tcPr>
          <w:p>
            <w:pPr>
              <w:jc w:val="left"/>
            </w:pPr>
            <w:r>
              <w:t>0,0 m³</w:t>
            </w:r>
          </w:p>
          <w:p>
            <w:pPr>
              <w:jc w:val="left"/>
            </w:pPr>
            <w:r>
              <w:t>(0,0%)</w:t>
            </w:r>
          </w:p>
        </w:tc>
      </w:tr>
      <w:tr>
        <w:tc>
          <w:tcPr>
            <w:tcW w:type="dxa" w:w="1440"/>
            <w:noWrap/>
          </w:tcPr>
          <w:p>
            <w:r>
              <w:t>3</w:t>
            </w:r>
          </w:p>
        </w:tc>
        <w:tc>
          <w:tcPr>
            <w:tcW w:type="dxa" w:w="1440"/>
            <w:noWrap/>
          </w:tcPr>
          <w:p>
            <w:r>
              <w:t>Raimundo Tupper</w:t>
            </w:r>
          </w:p>
        </w:tc>
        <w:tc>
          <w:tcPr>
            <w:tcW w:type="dxa" w:w="1440"/>
            <w:noWrap/>
          </w:tcPr>
          <w:p>
            <w:r>
              <w:t>3.993,9</w:t>
            </w:r>
          </w:p>
        </w:tc>
        <w:tc>
          <w:tcPr>
            <w:tcW w:type="dxa" w:w="1440"/>
            <w:noWrap/>
          </w:tcPr>
          <w:p>
            <w:r>
              <w:t>31</w:t>
            </w:r>
          </w:p>
        </w:tc>
        <w:tc>
          <w:tcPr>
            <w:tcW w:type="dxa" w:w="1440"/>
            <w:noWrap/>
          </w:tcPr>
          <w:p>
            <w:pPr>
              <w:jc w:val="left"/>
            </w:pPr>
            <w:r>
              <w:t>692,7 m³</w:t>
            </w:r>
          </w:p>
          <w:p>
            <w:pPr>
              <w:jc w:val="left"/>
            </w:pPr>
            <w:r>
              <w:t>(60 días, 62,5%)</w:t>
            </w:r>
          </w:p>
        </w:tc>
        <w:tc>
          <w:tcPr>
            <w:tcW w:type="dxa" w:w="1440"/>
            <w:noWrap/>
          </w:tcPr>
          <w:p>
            <w:pPr>
              <w:jc w:val="left"/>
            </w:pPr>
            <w:r>
              <w:t>0,0 m³</w:t>
            </w:r>
          </w:p>
          <w:p>
            <w:pPr>
              <w:jc w:val="left"/>
            </w:pPr>
            <w:r>
              <w:t>(0,0%)</w:t>
            </w:r>
          </w:p>
        </w:tc>
      </w:tr>
      <w:tr>
        <w:tc>
          <w:tcPr>
            <w:tcW w:type="dxa" w:w="1440"/>
            <w:noWrap/>
          </w:tcPr>
          <w:p>
            <w:r>
              <w:t>4</w:t>
            </w:r>
          </w:p>
        </w:tc>
        <w:tc>
          <w:tcPr>
            <w:tcW w:type="dxa" w:w="1440"/>
            <w:noWrap/>
          </w:tcPr>
          <w:p>
            <w:r>
              <w:t>Club House CDUC</w:t>
            </w:r>
          </w:p>
        </w:tc>
        <w:tc>
          <w:tcPr>
            <w:tcW w:type="dxa" w:w="1440"/>
            <w:noWrap/>
          </w:tcPr>
          <w:p>
            <w:r>
              <w:t>3.350</w:t>
            </w:r>
          </w:p>
        </w:tc>
        <w:tc>
          <w:tcPr>
            <w:tcW w:type="dxa" w:w="1440"/>
            <w:noWrap/>
          </w:tcPr>
          <w:p>
            <w:r>
              <w:t>15</w:t>
            </w:r>
          </w:p>
        </w:tc>
        <w:tc>
          <w:tcPr>
            <w:tcW w:type="dxa" w:w="1440"/>
            <w:noWrap/>
          </w:tcPr>
          <w:p>
            <w:pPr>
              <w:jc w:val="left"/>
            </w:pPr>
            <w:r>
              <w:t>226,8 m³</w:t>
            </w:r>
          </w:p>
          <w:p>
            <w:pPr>
              <w:jc w:val="left"/>
            </w:pPr>
            <w:r>
              <w:t>(55 días, 57,3%)</w:t>
            </w:r>
          </w:p>
        </w:tc>
        <w:tc>
          <w:tcPr>
            <w:tcW w:type="dxa" w:w="1440"/>
            <w:noWrap/>
          </w:tcPr>
          <w:p>
            <w:pPr>
              <w:jc w:val="left"/>
            </w:pPr>
            <w:r>
              <w:t>0,0 m³</w:t>
            </w:r>
          </w:p>
          <w:p>
            <w:pPr>
              <w:jc w:val="left"/>
            </w:pPr>
            <w:r>
              <w:t>(0,0%)</w:t>
            </w:r>
          </w:p>
        </w:tc>
      </w:tr>
      <w:tr>
        <w:tc>
          <w:tcPr>
            <w:tcW w:type="dxa" w:w="1440"/>
            <w:noWrap/>
          </w:tcPr>
          <w:p>
            <w:r>
              <w:t>5</w:t>
            </w:r>
          </w:p>
        </w:tc>
        <w:tc>
          <w:tcPr>
            <w:tcW w:type="dxa" w:w="1440"/>
            <w:noWrap/>
          </w:tcPr>
          <w:p>
            <w:r>
              <w:t>Equitación</w:t>
            </w:r>
          </w:p>
        </w:tc>
        <w:tc>
          <w:tcPr>
            <w:tcW w:type="dxa" w:w="1440"/>
            <w:noWrap/>
          </w:tcPr>
          <w:p>
            <w:r>
              <w:t>3.299,5</w:t>
            </w:r>
          </w:p>
        </w:tc>
        <w:tc>
          <w:tcPr>
            <w:tcW w:type="dxa" w:w="1440"/>
            <w:noWrap/>
          </w:tcPr>
          <w:p>
            <w:r>
              <w:t>3</w:t>
            </w:r>
          </w:p>
        </w:tc>
        <w:tc>
          <w:tcPr>
            <w:tcW w:type="dxa" w:w="1440"/>
            <w:noWrap/>
          </w:tcPr>
          <w:p>
            <w:pPr>
              <w:jc w:val="left"/>
            </w:pPr>
            <w:r>
              <w:t>645,2 m³</w:t>
            </w:r>
          </w:p>
          <w:p>
            <w:pPr>
              <w:jc w:val="left"/>
            </w:pPr>
            <w:r>
              <w:t>(70 días, 72,9%)</w:t>
            </w:r>
          </w:p>
        </w:tc>
        <w:tc>
          <w:tcPr>
            <w:tcW w:type="dxa" w:w="1440"/>
            <w:noWrap/>
          </w:tcPr>
          <w:p>
            <w:pPr>
              <w:jc w:val="left"/>
            </w:pPr>
            <w:r>
              <w:t>0,0 m³</w:t>
            </w:r>
          </w:p>
          <w:p>
            <w:pPr>
              <w:jc w:val="left"/>
            </w:pPr>
            <w:r>
              <w:t>(0,0%)</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23.126,7</w:t>
            </w:r>
          </w:p>
        </w:tc>
        <w:tc>
          <w:tcPr>
            <w:tcW w:type="dxa" w:w="1440"/>
            <w:noWrap/>
            <w:shd w:val="clear" w:fill="FFE6E6"/>
          </w:tcPr>
          <w:p>
            <w:pPr>
              <w:jc w:val="left"/>
            </w:pPr>
            <w:r>
              <w:rPr>
                <w:b/>
                <w:color w:val="FF0000"/>
              </w:rPr>
              <w:t>108</w:t>
            </w:r>
          </w:p>
        </w:tc>
        <w:tc>
          <w:tcPr>
            <w:tcW w:type="dxa" w:w="1440"/>
            <w:noWrap/>
            <w:shd w:val="clear" w:fill="FFE6E6"/>
          </w:tcPr>
          <w:p>
            <w:pPr>
              <w:jc w:val="left"/>
            </w:pPr>
            <w:r>
              <w:rPr>
                <w:b/>
                <w:color w:val="FF0000"/>
              </w:rPr>
              <w:t>3.987,1 m³</w:t>
            </w:r>
          </w:p>
        </w:tc>
        <w:tc>
          <w:tcPr>
            <w:tcW w:type="dxa" w:w="1440"/>
            <w:noWrap/>
            <w:shd w:val="clear" w:fill="FFE6E6"/>
          </w:tcPr>
          <w:p>
            <w:pPr>
              <w:jc w:val="left"/>
            </w:pPr>
            <w:r>
              <w:rPr>
                <w:b/>
                <w:color w:val="FF0000"/>
              </w:rPr>
              <w:t>0 m³</w:t>
            </w:r>
          </w:p>
        </w:tc>
      </w:tr>
    </w:tbl>
    <w:p/>
    <w:p>
      <w:pPr>
        <w:keepNext/>
        <w:widowControl/>
        <w:spacing w:after="60"/>
        <w:jc w:val="center"/>
      </w:pPr>
      <w:r>
        <w:drawing>
          <wp:inline xmlns:a="http://schemas.openxmlformats.org/drawingml/2006/main" xmlns:pic="http://schemas.openxmlformats.org/drawingml/2006/picture">
            <wp:extent cx="5486400" cy="3415099"/>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15099"/>
                    </a:xfrm>
                    <a:prstGeom prst="rect"/>
                  </pic:spPr>
                </pic:pic>
              </a:graphicData>
            </a:graphic>
          </wp:inline>
        </w:drawing>
      </w:r>
    </w:p>
    <w:p/>
    <w:p>
      <w:pPr>
        <w:keepNext/>
        <w:widowControl/>
        <w:spacing w:after="60"/>
      </w:pPr>
      <w:r>
        <w:rPr>
          <w:b/>
          <w:color w:val="003366"/>
        </w:rPr>
        <w:t>DÍA CON MAYOR CONSUMO NOCTURNO - CLUB HOUSE CDUC (08-03-26):</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max_nocturnal_000021_01.png"/>
                    <pic:cNvPicPr/>
                  </pic:nvPicPr>
                  <pic:blipFill>
                    <a:blip r:embed="rId12"/>
                    <a:stretch>
                      <a:fillRect/>
                    </a:stretch>
                  </pic:blipFill>
                  <pic:spPr>
                    <a:xfrm>
                      <a:off x="0" y="0"/>
                      <a:ext cx="5486400" cy="2702533"/>
                    </a:xfrm>
                    <a:prstGeom prst="rect"/>
                  </pic:spPr>
                </pic:pic>
              </a:graphicData>
            </a:graphic>
          </wp:inline>
        </w:drawing>
      </w:r>
    </w:p>
    <w:p>
      <w:pPr>
        <w:jc w:val="both"/>
      </w:pPr>
      <w:r>
        <w:rPr>
          <w:color w:val="000000"/>
        </w:rPr>
        <w:t>El nodo Club House CDUC registró 15 alerta(s) durante 13 día(s) del periodo analizado. La periodicidad de las alertas es puntual (menos del 20% de los días).</w:t>
      </w:r>
    </w:p>
    <w:p/>
    <w:p>
      <w:pPr>
        <w:keepNext/>
        <w:widowControl/>
        <w:spacing w:after="60"/>
      </w:pPr>
      <w:r>
        <w:rPr>
          <w:b/>
          <w:color w:val="003366"/>
        </w:rPr>
        <w:t>DÍA CON MAYOR CONSUMO NOCTURNO - RAIMUNDO TUPPER (16-01-26):</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max_nocturnal_000021_03.png"/>
                    <pic:cNvPicPr/>
                  </pic:nvPicPr>
                  <pic:blipFill>
                    <a:blip r:embed="rId13"/>
                    <a:stretch>
                      <a:fillRect/>
                    </a:stretch>
                  </pic:blipFill>
                  <pic:spPr>
                    <a:xfrm>
                      <a:off x="0" y="0"/>
                      <a:ext cx="5486400" cy="2702533"/>
                    </a:xfrm>
                    <a:prstGeom prst="rect"/>
                  </pic:spPr>
                </pic:pic>
              </a:graphicData>
            </a:graphic>
          </wp:inline>
        </w:drawing>
      </w:r>
    </w:p>
    <w:p>
      <w:pPr>
        <w:jc w:val="both"/>
      </w:pPr>
      <w:r>
        <w:rPr>
          <w:color w:val="000000"/>
        </w:rPr>
        <w:t>El nodo Raimundo Tupper registró 31 alerta(s) durante 29 día(s) del periodo analizado. La periodicidad de las alertas es intermitente (más del 20% de los días).</w:t>
      </w:r>
    </w:p>
    <w:p/>
    <w:p>
      <w:pPr>
        <w:keepNext/>
        <w:widowControl/>
        <w:spacing w:after="60"/>
      </w:pPr>
      <w:r>
        <w:rPr>
          <w:b/>
          <w:color w:val="003366"/>
        </w:rPr>
        <w:t>DÍA CON MAYOR CONSUMO NOCTURNO - EQUITACIÓN (05-01-26):</w:t>
      </w:r>
    </w:p>
    <w:p>
      <w:pPr>
        <w:keepNext/>
        <w:widowControl/>
        <w:spacing w:after="60"/>
        <w:jc w:val="center"/>
      </w:pPr>
      <w:r>
        <w:drawing>
          <wp:inline xmlns:a="http://schemas.openxmlformats.org/drawingml/2006/main" xmlns:pic="http://schemas.openxmlformats.org/drawingml/2006/picture">
            <wp:extent cx="5486400" cy="2702533"/>
            <wp:docPr id="5" name="Picture 5"/>
            <wp:cNvGraphicFramePr>
              <a:graphicFrameLocks noChangeAspect="1"/>
            </wp:cNvGraphicFramePr>
            <a:graphic>
              <a:graphicData uri="http://schemas.openxmlformats.org/drawingml/2006/picture">
                <pic:pic>
                  <pic:nvPicPr>
                    <pic:cNvPr id="0" name="chart_max_nocturnal_000021_04.png"/>
                    <pic:cNvPicPr/>
                  </pic:nvPicPr>
                  <pic:blipFill>
                    <a:blip r:embed="rId14"/>
                    <a:stretch>
                      <a:fillRect/>
                    </a:stretch>
                  </pic:blipFill>
                  <pic:spPr>
                    <a:xfrm>
                      <a:off x="0" y="0"/>
                      <a:ext cx="5486400" cy="2702533"/>
                    </a:xfrm>
                    <a:prstGeom prst="rect"/>
                  </pic:spPr>
                </pic:pic>
              </a:graphicData>
            </a:graphic>
          </wp:inline>
        </w:drawing>
      </w:r>
    </w:p>
    <w:p>
      <w:pPr>
        <w:jc w:val="both"/>
      </w:pPr>
      <w:r>
        <w:rPr>
          <w:color w:val="000000"/>
        </w:rPr>
        <w:t>El nodo Equitación registró 3 alerta(s) durante 3 día(s) del periodo analizado. La periodicidad de las alertas es puntual (menos del 20% de los días).</w:t>
      </w:r>
    </w:p>
    <w:p/>
    <w:p>
      <w:pPr>
        <w:keepNext/>
        <w:widowControl/>
        <w:spacing w:after="60"/>
      </w:pPr>
      <w:r>
        <w:rPr>
          <w:b/>
          <w:color w:val="003366"/>
        </w:rPr>
        <w:t>DÍA CON MAYOR CONSUMO NOCTURNO - CALLE DE SERVICIO (01-02-26):</w:t>
      </w:r>
    </w:p>
    <w:p>
      <w:pPr>
        <w:keepNext/>
        <w:widowControl/>
        <w:spacing w:after="60"/>
        <w:jc w:val="center"/>
      </w:pPr>
      <w:r>
        <w:drawing>
          <wp:inline xmlns:a="http://schemas.openxmlformats.org/drawingml/2006/main" xmlns:pic="http://schemas.openxmlformats.org/drawingml/2006/picture">
            <wp:extent cx="5486400" cy="2702533"/>
            <wp:docPr id="6" name="Picture 6"/>
            <wp:cNvGraphicFramePr>
              <a:graphicFrameLocks noChangeAspect="1"/>
            </wp:cNvGraphicFramePr>
            <a:graphic>
              <a:graphicData uri="http://schemas.openxmlformats.org/drawingml/2006/picture">
                <pic:pic>
                  <pic:nvPicPr>
                    <pic:cNvPr id="0" name="chart_max_nocturnal_000021_05.png"/>
                    <pic:cNvPicPr/>
                  </pic:nvPicPr>
                  <pic:blipFill>
                    <a:blip r:embed="rId15"/>
                    <a:stretch>
                      <a:fillRect/>
                    </a:stretch>
                  </pic:blipFill>
                  <pic:spPr>
                    <a:xfrm>
                      <a:off x="0" y="0"/>
                      <a:ext cx="5486400" cy="2702533"/>
                    </a:xfrm>
                    <a:prstGeom prst="rect"/>
                  </pic:spPr>
                </pic:pic>
              </a:graphicData>
            </a:graphic>
          </wp:inline>
        </w:drawing>
      </w:r>
    </w:p>
    <w:p>
      <w:pPr>
        <w:jc w:val="both"/>
      </w:pPr>
      <w:r>
        <w:rPr>
          <w:color w:val="000000"/>
        </w:rPr>
        <w:t>El nodo Calle de Servicio registró 13 alerta(s) durante 10 día(s) del periodo analizado. La periodicidad de las alertas es puntual (menos del 20% de los días).</w:t>
      </w:r>
    </w:p>
    <w:p/>
    <w:p>
      <w:pPr>
        <w:keepNext/>
        <w:widowControl/>
        <w:spacing w:after="60"/>
      </w:pPr>
      <w:r>
        <w:rPr>
          <w:b/>
          <w:color w:val="003366"/>
        </w:rPr>
        <w:t>DÍA CON MAYOR CONSUMO NOCTURNO - CANCHAS DE TENIS (17-02-26):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000021_07.png"/>
                    <pic:cNvPicPr/>
                  </pic:nvPicPr>
                  <pic:blipFill>
                    <a:blip r:embed="rId16"/>
                    <a:stretch>
                      <a:fillRect/>
                    </a:stretch>
                  </pic:blipFill>
                  <pic:spPr>
                    <a:xfrm>
                      <a:off x="0" y="0"/>
                      <a:ext cx="5486400" cy="2702533"/>
                    </a:xfrm>
                    <a:prstGeom prst="rect"/>
                  </pic:spPr>
                </pic:pic>
              </a:graphicData>
            </a:graphic>
          </wp:inline>
        </w:drawing>
      </w:r>
    </w:p>
    <w:p>
      <w:pPr>
        <w:jc w:val="both"/>
      </w:pPr>
      <w:r>
        <w:rPr>
          <w:color w:val="000000"/>
        </w:rPr>
        <w:t>El nodo Canchas de Tenis registró 46 alerta(s) durante 37 día(s) del periodo analizado. La periodicidad de las alertas es intermitente (más del 20% de los días).</w:t>
      </w:r>
    </w:p>
    <w:p/>
    <w:p>
      <w:pPr>
        <w:keepNext/>
        <w:widowControl/>
        <w:spacing w:after="60"/>
      </w:pPr>
      <w:r>
        <w:rPr>
          <w:b/>
          <w:color w:val="003366"/>
        </w:rPr>
        <w:t>COMPARACIÓN MENSUAL: CONSUMO NOCTURNO VS CONSUMO EFECTIVO:</w:t>
      </w:r>
    </w:p>
    <w:p>
      <w:pPr>
        <w:jc w:val="both"/>
      </w:pPr>
      <w:r>
        <w:rPr>
          <w:color w:val="000000"/>
        </w:rPr>
        <w:t>La comparación mensual proyecta los valores diarios a un mes completo (30 días). La proyección mensual de consumo nocturno se obtiene multiplicando la proyección diaria de consumo nocturno agregada por 30 días, mientras que el consumo efectivo mensual se calcula multiplicando el consumo efectivo promedio diario agregado por 30 días. Esta comparación permite visualizar el impacto económico de los consumos nocturnos en un periodo mensual, valorizando el consumo nocturno en pesos chilenos según el precio por metro cúbico del punto.</w:t>
      </w:r>
    </w:p>
    <w:p/>
    <w:p>
      <w:pPr>
        <w:keepNext/>
        <w:widowControl/>
        <w:spacing w:after="60"/>
        <w:jc w:val="center"/>
      </w:pPr>
      <w:r>
        <w:drawing>
          <wp:inline xmlns:a="http://schemas.openxmlformats.org/drawingml/2006/main" xmlns:pic="http://schemas.openxmlformats.org/drawingml/2006/picture">
            <wp:extent cx="3657600" cy="2228619"/>
            <wp:docPr id="8" name="Picture 8"/>
            <wp:cNvGraphicFramePr>
              <a:graphicFrameLocks noChangeAspect="1"/>
            </wp:cNvGraphicFramePr>
            <a:graphic>
              <a:graphicData uri="http://schemas.openxmlformats.org/drawingml/2006/picture">
                <pic:pic>
                  <pic:nvPicPr>
                    <pic:cNvPr id="0" name="chart_comparacion_mensual_agregada.png"/>
                    <pic:cNvPicPr/>
                  </pic:nvPicPr>
                  <pic:blipFill>
                    <a:blip r:embed="rId17"/>
                    <a:stretch>
                      <a:fillRect/>
                    </a:stretch>
                  </pic:blipFill>
                  <pic:spPr>
                    <a:xfrm>
                      <a:off x="0" y="0"/>
                      <a:ext cx="3657600" cy="2228619"/>
                    </a:xfrm>
                    <a:prstGeom prst="rect"/>
                  </pic:spPr>
                </pic:pic>
              </a:graphicData>
            </a:graphic>
          </wp:inline>
        </w:drawing>
      </w:r>
    </w:p>
    <w:p>
      <w:pPr>
        <w:pStyle w:val="Heading1"/>
        <w:keepNext/>
        <w:widowControl/>
        <w:spacing w:after="60"/>
      </w:pPr>
      <w:r>
        <w:rPr>
          <w:b/>
          <w:color w:val="003366"/>
        </w:rPr>
        <w:t>CONCLUSIONES</w:t>
      </w:r>
    </w:p>
    <w:p>
      <w:pPr>
        <w:keepNext/>
        <w:widowControl/>
        <w:jc w:val="both"/>
      </w:pPr>
      <w:r>
        <w:rPr>
          <w:color w:val="000000"/>
        </w:rPr>
        <w:t>Este reporte sintetiza los principales hallazgos de consumo y fugas. Se recomienda revisar los días con mayor consumo y atender las alertas registradas.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