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01-01-26 - 06-04-26</w:t>
        <w:br/>
        <w:t>Generado: 07-04-26 16:12</w:t>
      </w:r>
    </w:p>
    <w:p>
      <w:pPr>
        <w:pStyle w:val="Heading1"/>
        <w:keepNext/>
        <w:widowControl/>
        <w:spacing w:after="60"/>
      </w:pPr>
      <w:r>
        <w:rPr>
          <w:b/>
          <w:color w:val="003366"/>
        </w:rPr>
        <w:t>RESUMEN EJECUTIVO AGREGADO</w:t>
      </w:r>
    </w:p>
    <w:p>
      <w:r>
        <w:t>Puntos de monitoreo analizados: 5.</w:t>
        <w:br/>
      </w:r>
      <w:r>
        <w:t>Consumo total agregado: 23.126,7 m³.</w:t>
        <w:br/>
      </w:r>
      <w:r>
        <w:t>Consumo promedio por punto: 4.625,3 m³.</w:t>
        <w:br/>
      </w:r>
      <w:r>
        <w:t>Total de alertas registradas: 108.</w:t>
        <w:br/>
      </w:r>
      <w:r>
        <w:t>Promedio de alerta agregado: 1 m³/h.</w:t>
        <w:br/>
      </w:r>
      <w:r>
        <w:t>Proyección diaria de consumo nocturno agregada: 24,8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7.761,3 m³ durante el periodo analizado. Este valor representa un 67,8% por encima del promedio (4.625,3 m³ por punto), indicando una demanda significativamente superior a la media. Por otro lado, el punto con menor consumo es Equitación, con un total de 3.299,5 m³. Este valor representa un 28,7% por debajo del promedio, mostrando una demanda significativamente inferior. La diferencia entre el punto de mayor y menor consumo es considerable, siendo el consumo máximo aproximadamente 2,4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7.761,3</w:t>
            </w:r>
          </w:p>
        </w:tc>
        <w:tc>
          <w:tcPr>
            <w:tcW w:type="dxa" w:w="1440"/>
            <w:noWrap/>
          </w:tcPr>
          <w:p>
            <w:r>
              <w:t>46</w:t>
            </w:r>
          </w:p>
        </w:tc>
        <w:tc>
          <w:tcPr>
            <w:tcW w:type="dxa" w:w="1440"/>
            <w:noWrap/>
          </w:tcPr>
          <w:p>
            <w:pPr>
              <w:jc w:val="left"/>
            </w:pPr>
            <w:r>
              <w:t>1.307,3 m³</w:t>
            </w:r>
          </w:p>
          <w:p>
            <w:pPr>
              <w:jc w:val="left"/>
            </w:pPr>
            <w:r>
              <w:t>(90 días, 93,8%)</w:t>
            </w:r>
          </w:p>
        </w:tc>
        <w:tc>
          <w:tcPr>
            <w:tcW w:type="dxa" w:w="1440"/>
            <w:noWrap/>
          </w:tcPr>
          <w:p>
            <w:pPr>
              <w:jc w:val="left"/>
            </w:pPr>
            <w:r>
              <w:t>4.482,2 m³</w:t>
            </w:r>
          </w:p>
          <w:p>
            <w:pPr>
              <w:jc w:val="left"/>
            </w:pPr>
            <w:r>
              <w:t>(57,8%)</w:t>
            </w:r>
          </w:p>
        </w:tc>
      </w:tr>
      <w:tr>
        <w:tc>
          <w:tcPr>
            <w:tcW w:type="dxa" w:w="1440"/>
            <w:noWrap/>
          </w:tcPr>
          <w:p>
            <w:r>
              <w:t>2</w:t>
            </w:r>
          </w:p>
        </w:tc>
        <w:tc>
          <w:tcPr>
            <w:tcW w:type="dxa" w:w="1440"/>
            <w:noWrap/>
          </w:tcPr>
          <w:p>
            <w:r>
              <w:t>Calle de Servicio</w:t>
            </w:r>
          </w:p>
        </w:tc>
        <w:tc>
          <w:tcPr>
            <w:tcW w:type="dxa" w:w="1440"/>
            <w:noWrap/>
          </w:tcPr>
          <w:p>
            <w:r>
              <w:t>4.722</w:t>
            </w:r>
          </w:p>
        </w:tc>
        <w:tc>
          <w:tcPr>
            <w:tcW w:type="dxa" w:w="1440"/>
            <w:noWrap/>
          </w:tcPr>
          <w:p>
            <w:r>
              <w:t>13</w:t>
            </w:r>
          </w:p>
        </w:tc>
        <w:tc>
          <w:tcPr>
            <w:tcW w:type="dxa" w:w="1440"/>
            <w:noWrap/>
          </w:tcPr>
          <w:p>
            <w:pPr>
              <w:jc w:val="left"/>
            </w:pPr>
            <w:r>
              <w:t>1.115,1 m³</w:t>
            </w:r>
          </w:p>
          <w:p>
            <w:pPr>
              <w:jc w:val="left"/>
            </w:pPr>
            <w:r>
              <w:t>(91 días, 94,8%)</w:t>
            </w:r>
          </w:p>
        </w:tc>
        <w:tc>
          <w:tcPr>
            <w:tcW w:type="dxa" w:w="1440"/>
            <w:noWrap/>
          </w:tcPr>
          <w:p>
            <w:pPr>
              <w:jc w:val="left"/>
            </w:pPr>
            <w:r>
              <w:t>3.823,2 m³</w:t>
            </w:r>
          </w:p>
          <w:p>
            <w:pPr>
              <w:jc w:val="left"/>
            </w:pPr>
            <w:r>
              <w:t>(81%)</w:t>
            </w:r>
          </w:p>
        </w:tc>
      </w:tr>
      <w:tr>
        <w:tc>
          <w:tcPr>
            <w:tcW w:type="dxa" w:w="1440"/>
            <w:noWrap/>
          </w:tcPr>
          <w:p>
            <w:r>
              <w:t>3</w:t>
            </w:r>
          </w:p>
        </w:tc>
        <w:tc>
          <w:tcPr>
            <w:tcW w:type="dxa" w:w="1440"/>
            <w:noWrap/>
          </w:tcPr>
          <w:p>
            <w:r>
              <w:t>Raimundo Tupper</w:t>
            </w:r>
          </w:p>
        </w:tc>
        <w:tc>
          <w:tcPr>
            <w:tcW w:type="dxa" w:w="1440"/>
            <w:noWrap/>
          </w:tcPr>
          <w:p>
            <w:r>
              <w:t>3.993,9</w:t>
            </w:r>
          </w:p>
        </w:tc>
        <w:tc>
          <w:tcPr>
            <w:tcW w:type="dxa" w:w="1440"/>
            <w:noWrap/>
          </w:tcPr>
          <w:p>
            <w:r>
              <w:t>31</w:t>
            </w:r>
          </w:p>
        </w:tc>
        <w:tc>
          <w:tcPr>
            <w:tcW w:type="dxa" w:w="1440"/>
            <w:noWrap/>
          </w:tcPr>
          <w:p>
            <w:pPr>
              <w:jc w:val="left"/>
            </w:pPr>
            <w:r>
              <w:t>692,7 m³</w:t>
            </w:r>
          </w:p>
          <w:p>
            <w:pPr>
              <w:jc w:val="left"/>
            </w:pPr>
            <w:r>
              <w:t>(60 días, 62,5%)</w:t>
            </w:r>
          </w:p>
        </w:tc>
        <w:tc>
          <w:tcPr>
            <w:tcW w:type="dxa" w:w="1440"/>
            <w:noWrap/>
          </w:tcPr>
          <w:p>
            <w:pPr>
              <w:jc w:val="left"/>
            </w:pPr>
            <w:r>
              <w:t>0,0 m³</w:t>
            </w:r>
          </w:p>
          <w:p>
            <w:pPr>
              <w:jc w:val="left"/>
            </w:pPr>
            <w:r>
              <w:t>(0,0%)</w:t>
            </w:r>
          </w:p>
        </w:tc>
      </w:tr>
      <w:tr>
        <w:tc>
          <w:tcPr>
            <w:tcW w:type="dxa" w:w="1440"/>
            <w:noWrap/>
          </w:tcPr>
          <w:p>
            <w:r>
              <w:t>4</w:t>
            </w:r>
          </w:p>
        </w:tc>
        <w:tc>
          <w:tcPr>
            <w:tcW w:type="dxa" w:w="1440"/>
            <w:noWrap/>
          </w:tcPr>
          <w:p>
            <w:r>
              <w:t>Club House CDUC</w:t>
            </w:r>
          </w:p>
        </w:tc>
        <w:tc>
          <w:tcPr>
            <w:tcW w:type="dxa" w:w="1440"/>
            <w:noWrap/>
          </w:tcPr>
          <w:p>
            <w:r>
              <w:t>3.350</w:t>
            </w:r>
          </w:p>
        </w:tc>
        <w:tc>
          <w:tcPr>
            <w:tcW w:type="dxa" w:w="1440"/>
            <w:noWrap/>
          </w:tcPr>
          <w:p>
            <w:r>
              <w:t>15</w:t>
            </w:r>
          </w:p>
        </w:tc>
        <w:tc>
          <w:tcPr>
            <w:tcW w:type="dxa" w:w="1440"/>
            <w:noWrap/>
          </w:tcPr>
          <w:p>
            <w:pPr>
              <w:jc w:val="left"/>
            </w:pPr>
            <w:r>
              <w:t>226,8 m³</w:t>
            </w:r>
          </w:p>
          <w:p>
            <w:pPr>
              <w:jc w:val="left"/>
            </w:pPr>
            <w:r>
              <w:t>(55 días, 57,3%)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Equitación</w:t>
            </w:r>
          </w:p>
        </w:tc>
        <w:tc>
          <w:tcPr>
            <w:tcW w:type="dxa" w:w="1440"/>
            <w:noWrap/>
          </w:tcPr>
          <w:p>
            <w:r>
              <w:t>3.299,5</w:t>
            </w:r>
          </w:p>
        </w:tc>
        <w:tc>
          <w:tcPr>
            <w:tcW w:type="dxa" w:w="1440"/>
            <w:noWrap/>
          </w:tcPr>
          <w:p>
            <w:r>
              <w:t>3</w:t>
            </w:r>
          </w:p>
        </w:tc>
        <w:tc>
          <w:tcPr>
            <w:tcW w:type="dxa" w:w="1440"/>
            <w:noWrap/>
          </w:tcPr>
          <w:p>
            <w:pPr>
              <w:jc w:val="left"/>
            </w:pPr>
            <w:r>
              <w:t>645,2 m³</w:t>
            </w:r>
          </w:p>
          <w:p>
            <w:pPr>
              <w:jc w:val="left"/>
            </w:pPr>
            <w:r>
              <w:t>(70 días, 72,9%)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23.126,7</w:t>
            </w:r>
          </w:p>
        </w:tc>
        <w:tc>
          <w:tcPr>
            <w:tcW w:type="dxa" w:w="1440"/>
            <w:noWrap/>
            <w:shd w:val="clear" w:fill="FFE6E6"/>
          </w:tcPr>
          <w:p>
            <w:pPr>
              <w:jc w:val="left"/>
            </w:pPr>
            <w:r>
              <w:rPr>
                <w:b/>
                <w:color w:val="FF0000"/>
              </w:rPr>
              <w:t>108</w:t>
            </w:r>
          </w:p>
        </w:tc>
        <w:tc>
          <w:tcPr>
            <w:tcW w:type="dxa" w:w="1440"/>
            <w:noWrap/>
            <w:shd w:val="clear" w:fill="FFE6E6"/>
          </w:tcPr>
          <w:p>
            <w:pPr>
              <w:jc w:val="left"/>
            </w:pPr>
            <w:r>
              <w:rPr>
                <w:b/>
                <w:color w:val="FF0000"/>
              </w:rPr>
              <w:t>3.987,1 m³</w:t>
            </w:r>
          </w:p>
        </w:tc>
        <w:tc>
          <w:tcPr>
            <w:tcW w:type="dxa" w:w="1440"/>
            <w:noWrap/>
            <w:shd w:val="clear" w:fill="FFE6E6"/>
          </w:tcPr>
          <w:p>
            <w:pPr>
              <w:jc w:val="left"/>
            </w:pPr>
            <w:r>
              <w:rPr>
                <w:b/>
                <w:color w:val="FF0000"/>
              </w:rPr>
              <w:t>8.305,4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15 alerta(s) durante 13 día(s) del periodo analizado. La periodicidad de las alertas es puntual (menos del 20% de los días).</w:t>
      </w:r>
    </w:p>
    <w:p/>
    <w:p>
      <w:pPr>
        <w:keepNext/>
        <w:widowControl/>
        <w:spacing w:after="60"/>
      </w:pPr>
      <w:r>
        <w:rPr>
          <w:b/>
          <w:color w:val="003366"/>
        </w:rPr>
        <w:t>DÍA CON MAYOR CONSUMO NOCTURNO - RAIMUNDO TUPPER (16-01-26):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31 alerta(s) durante 29 día(s) del periodo analizado. La periodicidad de las alertas es intermitente (más del 20% de los días).</w:t>
      </w:r>
    </w:p>
    <w:p/>
    <w:p>
      <w:pPr>
        <w:keepNext/>
        <w:widowControl/>
        <w:spacing w:after="60"/>
      </w:pPr>
      <w:r>
        <w:rPr>
          <w:b/>
          <w:color w:val="003366"/>
        </w:rPr>
        <w:t>DÍA CON MAYOR CONSUMO NOCTURNO - EQUITACIÓN (05-01-26):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w:t>
      </w:r>
    </w:p>
    <w:p/>
    <w:p>
      <w:pPr>
        <w:keepNext/>
        <w:widowControl/>
        <w:spacing w:after="60"/>
      </w:pPr>
      <w:r>
        <w:rPr>
          <w:b/>
          <w:color w:val="003366"/>
        </w:rPr>
        <w:t>DÍA CON MAYOR CONSUMO NOCTURNO - CALLE DE SERVICIO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10 día(s) del periodo analizado. La periodicidad de las alertas es puntual (menos del 20% de los días). Se identificó una proyección de filtración de 3.823,2 m³ ($4.870.800), lo que indica un patrón de fuga constante durante el periodo.</w:t>
      </w:r>
    </w:p>
    <w:p/>
    <w:p>
      <w:pPr>
        <w:keepNext/>
        <w:widowControl/>
        <w:spacing w:after="60"/>
      </w:pPr>
      <w:r>
        <w:rPr>
          <w:b/>
          <w:color w:val="003366"/>
        </w:rPr>
        <w:t>DÍA CON MAYOR CONSUMO NOCTURNO - CANCHAS DE TENIS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46 alerta(s) durante 37 día(s) del periodo analizado. La periodicidad de las alertas es intermitente (más del 20% de los días). Se identificó una proyección de filtración de 4.482,2 m³ ($5.710.286),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Canchas de Tenis y Calle de Servicio.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