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CDUC</w:t>
      </w:r>
    </w:p>
    <w:p>
      <w:pPr>
        <w:jc w:val="center"/>
      </w:pPr>
      <w:r>
        <w:t>MONITOREO WES</w:t>
        <w:br/>
        <w:t>Análisis consolidado de 5 puntos de monitoreo</w:t>
        <w:br/>
        <w:t>Rango: 01-01-26 - 06-04-26</w:t>
        <w:br/>
        <w:t>Generado: 07-04-26 20:11</w:t>
      </w:r>
    </w:p>
    <w:p>
      <w:pPr>
        <w:pStyle w:val="Heading1"/>
        <w:keepNext/>
        <w:widowControl/>
        <w:spacing w:after="60"/>
      </w:pPr>
      <w:r>
        <w:rPr>
          <w:b/>
          <w:color w:val="003366"/>
        </w:rPr>
        <w:t>RESUMEN EJECUTIVO AGREGADO</w:t>
      </w:r>
    </w:p>
    <w:p>
      <w:r>
        <w:t>Puntos de monitoreo analizados: 5.</w:t>
        <w:br/>
      </w:r>
      <w:r>
        <w:t>Consumo total agregado: 23.126,7 m³.</w:t>
        <w:br/>
      </w:r>
      <w:r>
        <w:t>Consumo promedio por punto: 4.625,3 m³.</w:t>
        <w:br/>
      </w:r>
      <w:r>
        <w:t>Total de alertas registradas: 108.</w:t>
        <w:br/>
      </w:r>
      <w:r>
        <w:t>Promedio de alerta agregado: 1 m³/h.</w:t>
        <w:br/>
      </w:r>
      <w:r>
        <w:t>Proyección diaria de consumo nocturno agregada: 24,9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Canchas de Tenis, con un total de 7.761,3 m³ durante el periodo analizado. Este valor representa un 67,8% por encima del promedio (4.625,3 m³ por punto), indicando una demanda significativamente superior a la media. Por otro lado, el punto con menor consumo es Equitación, con un total de 3.299,5 m³. Este valor representa un 28,7% por debajo del promedio, mostrando una demanda significativamente inferior. La diferencia entre el punto de mayor y menor consumo es considerable, siendo el consumo máximo aproximadamente 2,4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064"/>
        <w:gridCol w:w="1126"/>
        <w:gridCol w:w="1001"/>
        <w:gridCol w:w="1689"/>
        <w:gridCol w:w="150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Canchas de Tenis</w:t>
            </w:r>
          </w:p>
        </w:tc>
        <w:tc>
          <w:tcPr>
            <w:tcW w:type="dxa" w:w="1440"/>
            <w:noWrap/>
          </w:tcPr>
          <w:p>
            <w:r>
              <w:t>7.761,3</w:t>
            </w:r>
          </w:p>
        </w:tc>
        <w:tc>
          <w:tcPr>
            <w:tcW w:type="dxa" w:w="1440"/>
            <w:noWrap/>
          </w:tcPr>
          <w:p>
            <w:r>
              <w:t>46</w:t>
            </w:r>
          </w:p>
        </w:tc>
        <w:tc>
          <w:tcPr>
            <w:tcW w:type="dxa" w:w="1440"/>
            <w:noWrap/>
          </w:tcPr>
          <w:p>
            <w:pPr>
              <w:jc w:val="left"/>
            </w:pPr>
            <w:r>
              <w:t>1.563,7 m³</w:t>
            </w:r>
          </w:p>
          <w:p>
            <w:pPr>
              <w:jc w:val="left"/>
            </w:pPr>
            <w:r>
              <w:t>(90 días, 98,9%)</w:t>
            </w:r>
          </w:p>
        </w:tc>
        <w:tc>
          <w:tcPr>
            <w:tcW w:type="dxa" w:w="1440"/>
            <w:noWrap/>
          </w:tcPr>
          <w:p>
            <w:pPr>
              <w:jc w:val="left"/>
            </w:pPr>
            <w:r>
              <w:t>5.361,3 m³</w:t>
            </w:r>
          </w:p>
          <w:p>
            <w:pPr>
              <w:jc w:val="left"/>
            </w:pPr>
            <w:r>
              <w:t>(69,1%)</w:t>
            </w:r>
          </w:p>
        </w:tc>
      </w:tr>
      <w:tr>
        <w:tc>
          <w:tcPr>
            <w:tcW w:type="dxa" w:w="1440"/>
            <w:noWrap/>
          </w:tcPr>
          <w:p>
            <w:r>
              <w:t>2</w:t>
            </w:r>
          </w:p>
        </w:tc>
        <w:tc>
          <w:tcPr>
            <w:tcW w:type="dxa" w:w="1440"/>
            <w:noWrap/>
          </w:tcPr>
          <w:p>
            <w:r>
              <w:t>Calle de Servicio</w:t>
            </w:r>
          </w:p>
        </w:tc>
        <w:tc>
          <w:tcPr>
            <w:tcW w:type="dxa" w:w="1440"/>
            <w:noWrap/>
          </w:tcPr>
          <w:p>
            <w:r>
              <w:t>4.722</w:t>
            </w:r>
          </w:p>
        </w:tc>
        <w:tc>
          <w:tcPr>
            <w:tcW w:type="dxa" w:w="1440"/>
            <w:noWrap/>
          </w:tcPr>
          <w:p>
            <w:r>
              <w:t>13</w:t>
            </w:r>
          </w:p>
        </w:tc>
        <w:tc>
          <w:tcPr>
            <w:tcW w:type="dxa" w:w="1440"/>
            <w:noWrap/>
          </w:tcPr>
          <w:p>
            <w:pPr>
              <w:jc w:val="left"/>
            </w:pPr>
            <w:r>
              <w:t>1.161,1 m³</w:t>
            </w:r>
          </w:p>
          <w:p>
            <w:pPr>
              <w:jc w:val="left"/>
            </w:pPr>
            <w:r>
              <w:t>(91 días, 98,9%)</w:t>
            </w:r>
          </w:p>
        </w:tc>
        <w:tc>
          <w:tcPr>
            <w:tcW w:type="dxa" w:w="1440"/>
            <w:noWrap/>
          </w:tcPr>
          <w:p>
            <w:pPr>
              <w:jc w:val="left"/>
            </w:pPr>
            <w:r>
              <w:t>3.980,8 m³</w:t>
            </w:r>
          </w:p>
          <w:p>
            <w:pPr>
              <w:jc w:val="left"/>
            </w:pPr>
            <w:r>
              <w:t>(84,3%)</w:t>
            </w:r>
          </w:p>
        </w:tc>
      </w:tr>
      <w:tr>
        <w:tc>
          <w:tcPr>
            <w:tcW w:type="dxa" w:w="1440"/>
            <w:noWrap/>
          </w:tcPr>
          <w:p>
            <w:r>
              <w:t>3</w:t>
            </w:r>
          </w:p>
        </w:tc>
        <w:tc>
          <w:tcPr>
            <w:tcW w:type="dxa" w:w="1440"/>
            <w:noWrap/>
          </w:tcPr>
          <w:p>
            <w:r>
              <w:t>Raimundo Tupper</w:t>
            </w:r>
          </w:p>
        </w:tc>
        <w:tc>
          <w:tcPr>
            <w:tcW w:type="dxa" w:w="1440"/>
            <w:noWrap/>
          </w:tcPr>
          <w:p>
            <w:r>
              <w:t>3.993,9</w:t>
            </w:r>
          </w:p>
        </w:tc>
        <w:tc>
          <w:tcPr>
            <w:tcW w:type="dxa" w:w="1440"/>
            <w:noWrap/>
          </w:tcPr>
          <w:p>
            <w:r>
              <w:t>31</w:t>
            </w:r>
          </w:p>
        </w:tc>
        <w:tc>
          <w:tcPr>
            <w:tcW w:type="dxa" w:w="1440"/>
            <w:noWrap/>
          </w:tcPr>
          <w:p>
            <w:pPr>
              <w:jc w:val="left"/>
            </w:pPr>
            <w:r>
              <w:t>853,9 m³</w:t>
            </w:r>
          </w:p>
          <w:p>
            <w:pPr>
              <w:jc w:val="left"/>
            </w:pPr>
            <w:r>
              <w:t>(60 días, 76,9%)</w:t>
            </w:r>
          </w:p>
        </w:tc>
        <w:tc>
          <w:tcPr>
            <w:tcW w:type="dxa" w:w="1440"/>
            <w:noWrap/>
          </w:tcPr>
          <w:p>
            <w:pPr>
              <w:jc w:val="left"/>
            </w:pPr>
            <w:r>
              <w:t>2.927,6 m³</w:t>
            </w:r>
          </w:p>
          <w:p>
            <w:pPr>
              <w:jc w:val="left"/>
            </w:pPr>
            <w:r>
              <w:t>(73,3%)</w:t>
            </w:r>
          </w:p>
        </w:tc>
      </w:tr>
      <w:tr>
        <w:tc>
          <w:tcPr>
            <w:tcW w:type="dxa" w:w="1440"/>
            <w:noWrap/>
          </w:tcPr>
          <w:p>
            <w:r>
              <w:t>4</w:t>
            </w:r>
          </w:p>
        </w:tc>
        <w:tc>
          <w:tcPr>
            <w:tcW w:type="dxa" w:w="1440"/>
            <w:noWrap/>
          </w:tcPr>
          <w:p>
            <w:r>
              <w:t>Club House CDUC</w:t>
            </w:r>
          </w:p>
        </w:tc>
        <w:tc>
          <w:tcPr>
            <w:tcW w:type="dxa" w:w="1440"/>
            <w:noWrap/>
          </w:tcPr>
          <w:p>
            <w:r>
              <w:t>3.350</w:t>
            </w:r>
          </w:p>
        </w:tc>
        <w:tc>
          <w:tcPr>
            <w:tcW w:type="dxa" w:w="1440"/>
            <w:noWrap/>
          </w:tcPr>
          <w:p>
            <w:r>
              <w:t>15</w:t>
            </w:r>
          </w:p>
        </w:tc>
        <w:tc>
          <w:tcPr>
            <w:tcW w:type="dxa" w:w="1440"/>
            <w:noWrap/>
          </w:tcPr>
          <w:p>
            <w:pPr>
              <w:jc w:val="left"/>
            </w:pPr>
            <w:r>
              <w:t>540,9 m³</w:t>
            </w:r>
          </w:p>
          <w:p>
            <w:pPr>
              <w:jc w:val="left"/>
            </w:pPr>
            <w:r>
              <w:t>(94 días, 97,9%)</w:t>
            </w:r>
          </w:p>
        </w:tc>
        <w:tc>
          <w:tcPr>
            <w:tcW w:type="dxa" w:w="1440"/>
            <w:noWrap/>
          </w:tcPr>
          <w:p>
            <w:pPr>
              <w:jc w:val="left"/>
            </w:pPr>
            <w:r>
              <w:t>1.854,7 m³</w:t>
            </w:r>
          </w:p>
          <w:p>
            <w:pPr>
              <w:jc w:val="left"/>
            </w:pPr>
            <w:r>
              <w:t>(55,4%)</w:t>
            </w:r>
          </w:p>
        </w:tc>
      </w:tr>
      <w:tr>
        <w:tc>
          <w:tcPr>
            <w:tcW w:type="dxa" w:w="1440"/>
            <w:noWrap/>
          </w:tcPr>
          <w:p>
            <w:r>
              <w:t>5</w:t>
            </w:r>
          </w:p>
        </w:tc>
        <w:tc>
          <w:tcPr>
            <w:tcW w:type="dxa" w:w="1440"/>
            <w:noWrap/>
          </w:tcPr>
          <w:p>
            <w:r>
              <w:t>Equitación</w:t>
            </w:r>
          </w:p>
        </w:tc>
        <w:tc>
          <w:tcPr>
            <w:tcW w:type="dxa" w:w="1440"/>
            <w:noWrap/>
          </w:tcPr>
          <w:p>
            <w:r>
              <w:t>3.299,5</w:t>
            </w:r>
          </w:p>
        </w:tc>
        <w:tc>
          <w:tcPr>
            <w:tcW w:type="dxa" w:w="1440"/>
            <w:noWrap/>
          </w:tcPr>
          <w:p>
            <w:r>
              <w:t>3</w:t>
            </w:r>
          </w:p>
        </w:tc>
        <w:tc>
          <w:tcPr>
            <w:tcW w:type="dxa" w:w="1440"/>
            <w:noWrap/>
          </w:tcPr>
          <w:p>
            <w:pPr>
              <w:jc w:val="left"/>
            </w:pPr>
            <w:r>
              <w:t>628,1 m³</w:t>
            </w:r>
          </w:p>
          <w:p>
            <w:pPr>
              <w:jc w:val="left"/>
            </w:pPr>
            <w:r>
              <w:t>(93 días, 97,9%)</w:t>
            </w:r>
          </w:p>
        </w:tc>
        <w:tc>
          <w:tcPr>
            <w:tcW w:type="dxa" w:w="1440"/>
            <w:noWrap/>
          </w:tcPr>
          <w:p>
            <w:pPr>
              <w:jc w:val="left"/>
            </w:pPr>
            <w:r>
              <w:t>2.153,5 m³</w:t>
            </w:r>
          </w:p>
          <w:p>
            <w:pPr>
              <w:jc w:val="left"/>
            </w:pPr>
            <w:r>
              <w:t>(65,3%)</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23.126,7</w:t>
            </w:r>
          </w:p>
        </w:tc>
        <w:tc>
          <w:tcPr>
            <w:tcW w:type="dxa" w:w="1440"/>
            <w:noWrap/>
            <w:shd w:val="clear" w:fill="FFE6E6"/>
          </w:tcPr>
          <w:p>
            <w:pPr>
              <w:jc w:val="left"/>
            </w:pPr>
            <w:r>
              <w:rPr>
                <w:b/>
                <w:color w:val="FF0000"/>
              </w:rPr>
              <w:t>108</w:t>
            </w:r>
          </w:p>
        </w:tc>
        <w:tc>
          <w:tcPr>
            <w:tcW w:type="dxa" w:w="1440"/>
            <w:noWrap/>
            <w:shd w:val="clear" w:fill="FFE6E6"/>
          </w:tcPr>
          <w:p>
            <w:pPr>
              <w:jc w:val="left"/>
            </w:pPr>
            <w:r>
              <w:rPr>
                <w:b/>
                <w:color w:val="FF0000"/>
              </w:rPr>
              <w:t>4.747,7 m³</w:t>
            </w:r>
          </w:p>
        </w:tc>
        <w:tc>
          <w:tcPr>
            <w:tcW w:type="dxa" w:w="1440"/>
            <w:noWrap/>
            <w:shd w:val="clear" w:fill="FFE6E6"/>
          </w:tcPr>
          <w:p>
            <w:pPr>
              <w:jc w:val="left"/>
            </w:pPr>
            <w:r>
              <w:rPr>
                <w:b/>
                <w:color w:val="FF0000"/>
              </w:rPr>
              <w:t>16.277,8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CLUB HOUSE CDUC (08-03-26):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1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Club House CDUC registró 15 alerta(s) durante 13 día(s) del periodo analizado. La periodicidad de las alertas es puntual (menos del 20% de los días). Se identificó una proyección de filtración de 1.854,7 m³ ($2.362.870), lo que indica un patrón de fuga constante durante el periodo.</w:t>
      </w:r>
    </w:p>
    <w:p/>
    <w:p>
      <w:pPr>
        <w:keepNext/>
        <w:widowControl/>
        <w:spacing w:after="60"/>
      </w:pPr>
      <w:r>
        <w:rPr>
          <w:b/>
          <w:color w:val="003366"/>
        </w:rPr>
        <w:t>DÍA CON MAYOR CONSUMO NOCTURNO - RAIMUNDO TUPPER (12-02-26):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1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Raimundo Tupper registró 31 alerta(s) durante 29 día(s) del periodo analizado. La periodicidad de las alertas es intermitente (más del 20% de los días). Se identificó una proyección de filtración de 2.927,6 m³ ($3.729.792), lo que indica un patrón de fuga constante durante el periodo.</w:t>
      </w:r>
    </w:p>
    <w:p/>
    <w:p>
      <w:pPr>
        <w:keepNext/>
        <w:widowControl/>
        <w:spacing w:after="60"/>
      </w:pPr>
      <w:r>
        <w:rPr>
          <w:b/>
          <w:color w:val="003366"/>
        </w:rPr>
        <w:t>DÍA CON MAYOR CONSUMO NOCTURNO - EQUITACIÓN (05-01-26):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1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Equitación registró 3 alerta(s) durante 3 día(s) del periodo analizado. La periodicidad de las alertas es puntual (menos del 20% de los días). Se identificó una proyección de filtración de 2.162,6 m³ ($2.755.163), lo que indica un patrón de fuga constante durante el periodo.</w:t>
      </w:r>
    </w:p>
    <w:p/>
    <w:p>
      <w:pPr>
        <w:keepNext/>
        <w:widowControl/>
        <w:spacing w:after="60"/>
      </w:pPr>
      <w:r>
        <w:rPr>
          <w:b/>
          <w:color w:val="003366"/>
        </w:rPr>
        <w:t>DÍA CON MAYOR CONSUMO NOCTURNO - CALLE DE SERVICIO (01-02-26):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1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Calle de Servicio registró 13 alerta(s) durante 10 día(s) del periodo analizado. La periodicidad de las alertas es puntual (menos del 20% de los días). Se identificó una proyección de filtración de 3.980,8 m³ ($5.071.554), lo que indica un patrón de fuga constante durante el periodo.</w:t>
      </w:r>
    </w:p>
    <w:p/>
    <w:p>
      <w:pPr>
        <w:keepNext/>
        <w:widowControl/>
        <w:spacing w:after="60"/>
      </w:pPr>
      <w:r>
        <w:rPr>
          <w:b/>
          <w:color w:val="003366"/>
        </w:rPr>
        <w:t>DÍA CON MAYOR CONSUMO NOCTURNO - CANCHAS DE TENIS (17-02-26):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1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Canchas de Tenis registró 46 alerta(s) durante 37 día(s) del periodo analizado. La periodicidad de las alertas es intermitente (más del 20% de los días). Se identificó una proyección de filtración de 5.361,3 m³ ($6.830.242),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8" name="Picture 8"/>
            <wp:cNvGraphicFramePr>
              <a:graphicFrameLocks noChangeAspect="1"/>
            </wp:cNvGraphicFramePr>
            <a:graphic>
              <a:graphicData uri="http://schemas.openxmlformats.org/drawingml/2006/picture">
                <pic:pic>
                  <pic:nvPicPr>
                    <pic:cNvPr id="0" name="chart_comparacion_mensual_agregada.png"/>
                    <pic:cNvPicPr/>
                  </pic:nvPicPr>
                  <pic:blipFill>
                    <a:blip r:embed="rId17"/>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Canchas de Tenis, Calle de Servicio, Raimundo Tupper, Club House CDUC y Equitación.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